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4630d8k.htm"/>
      <w:bookmarkStart w:id="1" w:name="ksd11463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w:t>
      </w:r>
    </w:p>
    <w:p>
      <w:pPr>
        <w:pStyle w:val="TextBody"/>
        <w:bidi w:val="0"/>
        <w:spacing w:before="240" w:after="0"/>
        <w:jc w:val="center"/>
        <w:rPr>
          <w:rFonts w:ascii="Times New Roman" w:hAnsi="Times New Roman"/>
          <w:b/>
          <w:spacing w:val="0"/>
          <w:sz w:val="24"/>
        </w:rPr>
      </w:pPr>
      <w:r>
        <w:rPr>
          <w:rFonts w:ascii="Times New Roman" w:hAnsi="Times New Roman"/>
          <w:b/>
          <w:spacing w:val="0"/>
          <w:sz w:val="24"/>
        </w:rPr>
        <w:t>March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pacing w:val="0"/>
          <w:sz w:val="48"/>
        </w:rPr>
      </w:pPr>
      <w:r>
        <w:rPr>
          <w:rFonts w:ascii="Times New Roman" w:hAnsi="Times New Roman"/>
          <w:b/>
          <w:spacing w:val="0"/>
          <w:sz w:val="48"/>
        </w:rPr>
        <w:t>BCP Investment Corporation</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64" w:type="dxa"/>
        <w:jc w:val="left"/>
        <w:tblInd w:w="0" w:type="dxa"/>
        <w:tblLayout w:type="fixed"/>
        <w:tblCellMar>
          <w:top w:w="0" w:type="dxa"/>
          <w:left w:w="0" w:type="dxa"/>
          <w:bottom w:w="0" w:type="dxa"/>
          <w:right w:w="0" w:type="dxa"/>
        </w:tblCellMar>
      </w:tblPr>
      <w:tblGrid>
        <w:gridCol w:w="2519"/>
        <w:gridCol w:w="76"/>
        <w:gridCol w:w="1339"/>
        <w:gridCol w:w="60"/>
        <w:gridCol w:w="1370"/>
      </w:tblGrid>
      <w:tr>
        <w:trPr/>
        <w:tc>
          <w:tcPr>
            <w:tcW w:w="25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519" w:type="dxa"/>
            <w:tcBorders/>
            <w:vAlign w:val="center"/>
          </w:tcPr>
          <w:p>
            <w:pPr>
              <w:pStyle w:val="TableContents"/>
              <w:bidi w:val="0"/>
              <w:spacing w:before="0" w:after="0"/>
              <w:jc w:val="center"/>
              <w:rPr>
                <w:b/>
                <w:spacing w:val="0"/>
              </w:rPr>
            </w:pPr>
            <w:r>
              <w:rPr>
                <w:b/>
                <w:spacing w:val="0"/>
              </w:rPr>
              <w:t>Delaware</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b/>
                <w:spacing w:val="0"/>
              </w:rPr>
            </w:pPr>
            <w:r>
              <w:rPr>
                <w:b/>
                <w:spacing w:val="0"/>
              </w:rPr>
              <w:t>814-00735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20-5951150</w:t>
            </w:r>
          </w:p>
        </w:tc>
      </w:tr>
      <w:tr>
        <w:trPr/>
        <w:tc>
          <w:tcPr>
            <w:tcW w:w="251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4"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0"/>
              <w:jc w:val="center"/>
              <w:rPr>
                <w:rFonts w:ascii="Times New Roman" w:hAnsi="Times New Roman"/>
                <w:b/>
                <w:spacing w:val="0"/>
                <w:sz w:val="20"/>
              </w:rPr>
            </w:pPr>
            <w:r>
              <w:rPr>
                <w:rFonts w:ascii="Times New Roman" w:hAnsi="Times New Roman"/>
                <w:b/>
                <w:spacing w:val="0"/>
                <w:sz w:val="20"/>
              </w:rPr>
              <w:t>650 Madison Avenue</w:t>
            </w:r>
          </w:p>
          <w:p>
            <w:pPr>
              <w:pStyle w:val="TableContents"/>
              <w:bidi w:val="0"/>
              <w:spacing w:before="0" w:after="0"/>
              <w:jc w:val="center"/>
              <w:rPr>
                <w:rFonts w:ascii="Times New Roman" w:hAnsi="Times New Roman"/>
                <w:b/>
                <w:sz w:val="20"/>
              </w:rPr>
            </w:pPr>
            <w:r>
              <w:rPr>
                <w:rFonts w:ascii="Times New Roman" w:hAnsi="Times New Roman"/>
                <w:b/>
                <w:sz w:val="20"/>
              </w:rPr>
              <w:t xml:space="preserve">, </w:t>
            </w:r>
          </w:p>
          <w:p>
            <w:pPr>
              <w:pStyle w:val="TableContents"/>
              <w:bidi w:val="0"/>
              <w:spacing w:before="0" w:after="0"/>
              <w:jc w:val="center"/>
              <w:rPr>
                <w:rFonts w:ascii="Times New Roman" w:hAnsi="Times New Roman"/>
                <w:b/>
                <w:spacing w:val="0"/>
                <w:sz w:val="20"/>
              </w:rPr>
            </w:pPr>
            <w:r>
              <w:rPr>
                <w:rFonts w:ascii="Times New Roman" w:hAnsi="Times New Roman"/>
                <w:b/>
                <w:spacing w:val="0"/>
                <w:sz w:val="20"/>
              </w:rPr>
              <w:t>3rd Floor</w:t>
            </w:r>
          </w:p>
          <w:p>
            <w:pPr>
              <w:pStyle w:val="TableContents"/>
              <w:bidi w:val="0"/>
              <w:spacing w:before="0" w:after="20"/>
              <w:jc w:val="center"/>
              <w:rPr>
                <w:rFonts w:ascii="Times New Roman" w:hAnsi="Times New Roman"/>
                <w:b/>
                <w:spacing w:val="0"/>
                <w:sz w:val="20"/>
              </w:rPr>
            </w:pPr>
            <w:r>
              <w:rPr>
                <w:rFonts w:ascii="Times New Roman" w:hAnsi="Times New Roman"/>
                <w:b/>
                <w:spacing w:val="0"/>
                <w:sz w:val="20"/>
              </w:rPr>
              <w:t>New York</w:t>
            </w:r>
          </w:p>
          <w:p>
            <w:pPr>
              <w:pStyle w:val="TableContents"/>
              <w:bidi w:val="0"/>
              <w:spacing w:before="0" w:after="20"/>
              <w:jc w:val="center"/>
              <w:rPr>
                <w:rFonts w:ascii="Times New Roman" w:hAnsi="Times New Roman"/>
                <w:b/>
                <w:sz w:val="20"/>
              </w:rPr>
            </w:pPr>
            <w:r>
              <w:rPr>
                <w:rFonts w:ascii="Times New Roman" w:hAnsi="Times New Roman"/>
                <w:b/>
                <w:sz w:val="20"/>
              </w:rPr>
              <w:t xml:space="preserve">, </w:t>
            </w:r>
          </w:p>
          <w:p>
            <w:pPr>
              <w:pStyle w:val="TableContents"/>
              <w:bidi w:val="0"/>
              <w:spacing w:before="0" w:after="20"/>
              <w:jc w:val="center"/>
              <w:rPr>
                <w:rFonts w:ascii="Times New Roman" w:hAnsi="Times New Roman"/>
                <w:b/>
                <w:spacing w:val="0"/>
                <w:sz w:val="20"/>
              </w:rPr>
            </w:pPr>
            <w:r>
              <w:rPr>
                <w:rFonts w:ascii="Times New Roman" w:hAnsi="Times New Roman"/>
                <w:b/>
                <w:spacing w:val="0"/>
                <w:sz w:val="20"/>
              </w:rPr>
              <w:t>New York</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10022</w:t>
            </w:r>
          </w:p>
        </w:tc>
      </w:tr>
      <w:tr>
        <w:trPr/>
        <w:tc>
          <w:tcPr>
            <w:tcW w:w="3934" w:type="dxa"/>
            <w:gridSpan w:val="3"/>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212</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891-2880</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(see General Instructions A.2. below):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0"/>
              <w:jc w:val="left"/>
              <w:rPr>
                <w:spacing w:val="0"/>
              </w:rPr>
            </w:pPr>
            <w:r>
              <w:rPr>
                <w:spacing w:val="0"/>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0"/>
              <w:jc w:val="left"/>
              <w:rPr>
                <w:spacing w:val="0"/>
              </w:rPr>
            </w:pPr>
            <w:r>
              <w:rPr>
                <w:spacing w:val="0"/>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0"/>
              <w:jc w:val="left"/>
              <w:rPr>
                <w:spacing w:val="0"/>
              </w:rPr>
            </w:pPr>
            <w:r>
              <w:rPr>
                <w:spacing w:val="0"/>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0"/>
              <w:jc w:val="left"/>
              <w:rPr>
                <w:spacing w:val="0"/>
              </w:rPr>
            </w:pPr>
            <w:r>
              <w:rPr>
                <w:spacing w:val="0"/>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Exchange Act: </w:t>
      </w:r>
    </w:p>
    <w:p>
      <w:pPr>
        <w:pStyle w:val="TextBody"/>
        <w:bidi w:val="0"/>
        <w:spacing w:before="0" w:after="0"/>
        <w:jc w:val="left"/>
        <w:rPr/>
      </w:pPr>
      <w:r>
        <w:rPr/>
        <w:t> </w:t>
      </w:r>
    </w:p>
    <w:tbl>
      <w:tblPr>
        <w:tblW w:w="7035" w:type="dxa"/>
        <w:jc w:val="left"/>
        <w:tblInd w:w="0" w:type="dxa"/>
        <w:tblLayout w:type="fixed"/>
        <w:tblCellMar>
          <w:top w:w="0" w:type="dxa"/>
          <w:left w:w="0" w:type="dxa"/>
          <w:bottom w:w="0" w:type="dxa"/>
          <w:right w:w="0" w:type="dxa"/>
        </w:tblCellMar>
      </w:tblPr>
      <w:tblGrid>
        <w:gridCol w:w="4310"/>
        <w:gridCol w:w="120"/>
        <w:gridCol w:w="740"/>
        <w:gridCol w:w="120"/>
        <w:gridCol w:w="1745"/>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2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2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10" w:type="dxa"/>
            <w:tcBorders/>
            <w:vAlign w:val="center"/>
          </w:tcPr>
          <w:p>
            <w:pPr>
              <w:pStyle w:val="TableContents"/>
              <w:bidi w:val="0"/>
              <w:spacing w:before="0" w:after="0"/>
              <w:jc w:val="center"/>
              <w:rPr>
                <w:b/>
                <w:spacing w:val="0"/>
              </w:rPr>
            </w:pPr>
            <w:r>
              <w:rPr>
                <w:b/>
                <w:spacing w:val="0"/>
              </w:rPr>
              <w:t>Common Stock, par value $0.01 per share</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BCIC</w:t>
            </w:r>
          </w:p>
        </w:tc>
        <w:tc>
          <w:tcPr>
            <w:tcW w:w="12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The </w:t>
            </w:r>
          </w:p>
          <w:p>
            <w:pPr>
              <w:pStyle w:val="TableContents"/>
              <w:bidi w:val="0"/>
              <w:spacing w:before="0" w:after="0"/>
              <w:jc w:val="center"/>
              <w:rPr>
                <w:rFonts w:ascii="Times New Roman" w:hAnsi="Times New Roman"/>
                <w:b/>
                <w:spacing w:val="0"/>
                <w:sz w:val="20"/>
              </w:rPr>
            </w:pPr>
            <w:r>
              <w:rPr>
                <w:rFonts w:ascii="Times New Roman" w:hAnsi="Times New Roman"/>
                <w:b/>
                <w:spacing w:val="0"/>
                <w:sz w:val="20"/>
              </w:rPr>
              <w:t>NASDAQ</w:t>
            </w:r>
          </w:p>
          <w:p>
            <w:pPr>
              <w:pStyle w:val="TableContents"/>
              <w:bidi w:val="0"/>
              <w:spacing w:before="0" w:after="0"/>
              <w:jc w:val="center"/>
              <w:rPr>
                <w:rFonts w:ascii="Times New Roman" w:hAnsi="Times New Roman"/>
                <w:b/>
                <w:sz w:val="20"/>
              </w:rPr>
            </w:pPr>
            <w:r>
              <w:rPr>
                <w:rFonts w:ascii="Times New Roman" w:hAnsi="Times New Roman"/>
                <w:b/>
                <w:sz w:val="20"/>
              </w:rPr>
              <w:t>Global Select</w:t>
            </w:r>
          </w:p>
          <w:p>
            <w:pPr>
              <w:pStyle w:val="TableContents"/>
              <w:bidi w:val="0"/>
              <w:spacing w:before="0" w:after="20"/>
              <w:jc w:val="center"/>
              <w:rPr>
                <w:rFonts w:ascii="Times New Roman" w:hAnsi="Times New Roman"/>
                <w:b/>
                <w:sz w:val="20"/>
              </w:rPr>
            </w:pPr>
            <w:r>
              <w:rPr>
                <w:rFonts w:ascii="Times New Roman" w:hAnsi="Times New Roman"/>
                <w:b/>
                <w:sz w:val="20"/>
              </w:rPr>
              <w:t>Market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spacing w:val="0"/>
        </w:rPr>
      </w:pPr>
      <w:r>
        <w:rPr>
          <w:spacing w:val="0"/>
        </w:rPr>
        <w:t>☐</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0"/>
              <w:jc w:val="left"/>
              <w:rPr>
                <w:b/>
                <w:spacing w:val="0"/>
              </w:rPr>
            </w:pPr>
            <w:r>
              <w:rPr>
                <w:b/>
                <w:spacing w:val="0"/>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ind w:left="0" w:right="0" w:hanging="0"/>
        <w:jc w:val="left"/>
        <w:rPr>
          <w:rFonts w:ascii="Times New Roman" w:hAnsi="Times New Roman"/>
          <w:b/>
          <w:spacing w:val="0"/>
          <w:sz w:val="20"/>
          <w:u w:val="single"/>
        </w:rPr>
      </w:pPr>
      <w:r>
        <w:rPr>
          <w:rFonts w:ascii="Times New Roman" w:hAnsi="Times New Roman"/>
          <w:b/>
          <w:spacing w:val="0"/>
          <w:sz w:val="20"/>
          <w:u w:val="single"/>
        </w:rPr>
        <w:t xml:space="preserve">Notes Offering </w:t>
      </w:r>
    </w:p>
    <w:p>
      <w:pPr>
        <w:pStyle w:val="TextBody"/>
        <w:bidi w:val="0"/>
        <w:spacing w:before="120" w:after="0"/>
        <w:jc w:val="left"/>
        <w:rPr>
          <w:rFonts w:ascii="Times New Roman" w:hAnsi="Times New Roman"/>
          <w:sz w:val="20"/>
        </w:rPr>
      </w:pPr>
      <w:r>
        <w:rPr>
          <w:rFonts w:ascii="Times New Roman" w:hAnsi="Times New Roman"/>
          <w:sz w:val="20"/>
        </w:rPr>
        <w:t xml:space="preserve">On March 20, 2026, BCP Investment Corporation (the “Company”) entered into a note purchase agreement (the “Note Purchase Agreement”), by and among the Company and each purchaser named therein (the “Purchasers”), in connection </w:t>
      </w:r>
    </w:p>
    <w:p>
      <w:pPr>
        <w:pStyle w:val="TextBody"/>
        <w:bidi w:val="0"/>
        <w:spacing w:before="120" w:after="0"/>
        <w:jc w:val="left"/>
        <w:rPr>
          <w:rFonts w:ascii="Times New Roman" w:hAnsi="Times New Roman"/>
          <w:sz w:val="20"/>
        </w:rPr>
      </w:pPr>
      <w:r>
        <w:rPr>
          <w:rFonts w:ascii="Times New Roman" w:hAnsi="Times New Roman"/>
          <w:sz w:val="20"/>
        </w:rPr>
        <w:t xml:space="preserve">with </w:t>
      </w:r>
    </w:p>
    <w:p>
      <w:pPr>
        <w:pStyle w:val="TextBody"/>
        <w:bidi w:val="0"/>
        <w:spacing w:before="120" w:after="0"/>
        <w:jc w:val="left"/>
        <w:rPr>
          <w:rFonts w:ascii="Times New Roman" w:hAnsi="Times New Roman"/>
          <w:sz w:val="20"/>
        </w:rPr>
      </w:pPr>
      <w:r>
        <w:rPr>
          <w:rFonts w:ascii="Times New Roman" w:hAnsi="Times New Roman"/>
          <w:sz w:val="20"/>
        </w:rPr>
        <w:t xml:space="preserve">the issuance and sale of $50,000,000 in aggregate principal amount of the Company’s 7.50% notes due 2029 (the “Notes”), pursuant to an effective shelf registration statement on Form </w:t>
      </w:r>
    </w:p>
    <w:p>
      <w:pPr>
        <w:pStyle w:val="TextBody"/>
        <w:bidi w:val="0"/>
        <w:spacing w:before="120" w:after="0"/>
        <w:jc w:val="left"/>
        <w:rPr>
          <w:rFonts w:ascii="Times New Roman" w:hAnsi="Times New Roman"/>
          <w:sz w:val="20"/>
        </w:rPr>
      </w:pPr>
      <w:r>
        <w:rPr>
          <w:rFonts w:ascii="Times New Roman" w:hAnsi="Times New Roman"/>
          <w:sz w:val="20"/>
        </w:rPr>
        <w:t>N-2</w:t>
      </w:r>
    </w:p>
    <w:p>
      <w:pPr>
        <w:pStyle w:val="TextBody"/>
        <w:bidi w:val="0"/>
        <w:spacing w:before="120" w:after="0"/>
        <w:jc w:val="left"/>
        <w:rPr>
          <w:rFonts w:ascii="Times New Roman" w:hAnsi="Times New Roman"/>
          <w:sz w:val="20"/>
        </w:rPr>
      </w:pPr>
      <w:r>
        <w:rPr>
          <w:rFonts w:ascii="Times New Roman" w:hAnsi="Times New Roman"/>
          <w:sz w:val="20"/>
        </w:rPr>
        <w:t xml:space="preserve">(File </w:t>
      </w:r>
    </w:p>
    <w:p>
      <w:pPr>
        <w:pStyle w:val="TextBody"/>
        <w:bidi w:val="0"/>
        <w:spacing w:before="120" w:after="0"/>
        <w:jc w:val="left"/>
        <w:rPr>
          <w:rFonts w:ascii="Times New Roman" w:hAnsi="Times New Roman"/>
          <w:sz w:val="20"/>
        </w:rPr>
      </w:pPr>
      <w:r>
        <w:rPr>
          <w:rFonts w:ascii="Times New Roman" w:hAnsi="Times New Roman"/>
          <w:sz w:val="20"/>
        </w:rPr>
        <w:t>No. 333-283443),</w:t>
      </w:r>
    </w:p>
    <w:p>
      <w:pPr>
        <w:pStyle w:val="TextBody"/>
        <w:bidi w:val="0"/>
        <w:spacing w:before="120" w:after="0"/>
        <w:jc w:val="left"/>
        <w:rPr>
          <w:rFonts w:ascii="Times New Roman" w:hAnsi="Times New Roman"/>
          <w:sz w:val="20"/>
        </w:rPr>
      </w:pPr>
      <w:r>
        <w:rPr>
          <w:rFonts w:ascii="Times New Roman" w:hAnsi="Times New Roman"/>
          <w:sz w:val="20"/>
        </w:rPr>
        <w:t xml:space="preserve">as amended, which was declared effective on February 10, 2025. The Company intends to use the net proceeds of the offering to repay an aggregate principal amount of $40.0 million of the LRFC 5.25% fixed-rate notes due 2026 and to pay down other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conjunction therewith, the Company and U.S. Bank Trust Company, National Association (the “Trustee”) entered into a Sixth Supplemental Indenture relating to the Notes (the “Supplemental Indenture”), which supplements that certain Base Indenture, dated as of October 10, 2012 (as may be further amended, supplemented or otherwise modified from time to time, the “Base Indenture” and, together with the Supplemental Indenture,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September 24, 2029. The Notes may be redeemed in whole or in part at the Company’s option at any time or from time to time prior to April 24, 2029 at par value plus a “make-whole” premium calculated in accordance with the terms under “optional redemption” in the Indenture and at par value on April 24, 2029 or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Notes bear interest at the rate of 7.50% per year, payable semi-annually on April 30 and October 30 of each year, commencing on April 30, 2026. The Notes are general unsecured obligations of the Company that rank senior in right of payment to all of the Company’s existing and future indebtedness that is expressly subordinated in right of payment to the Notes, rank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pari passu</w:t>
      </w:r>
    </w:p>
    <w:p>
      <w:pPr>
        <w:pStyle w:val="TextBody"/>
        <w:bidi w:val="0"/>
        <w:spacing w:before="240" w:after="0"/>
        <w:jc w:val="left"/>
        <w:rPr>
          <w:rFonts w:ascii="Times New Roman" w:hAnsi="Times New Roman"/>
          <w:sz w:val="20"/>
        </w:rPr>
      </w:pPr>
      <w:r>
        <w:rPr>
          <w:rFonts w:ascii="Times New Roman" w:hAnsi="Times New Roman"/>
          <w:sz w:val="20"/>
        </w:rPr>
        <w:t xml:space="preserve">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 </w:t>
      </w:r>
    </w:p>
    <w:p>
      <w:pPr>
        <w:pStyle w:val="TextBody"/>
        <w:bidi w:val="0"/>
        <w:spacing w:before="240" w:after="0"/>
        <w:jc w:val="left"/>
        <w:rPr>
          <w:rFonts w:ascii="Times New Roman" w:hAnsi="Times New Roman"/>
          <w:sz w:val="20"/>
        </w:rPr>
      </w:pPr>
      <w:r>
        <w:rPr>
          <w:rFonts w:ascii="Times New Roman" w:hAnsi="Times New Roman"/>
          <w:sz w:val="20"/>
        </w:rPr>
        <w:t>The Indenture contains certain covenants, including covenants requiring the Company to comply with the asset coverage requirements of Sections 18(a)(1)(A) and 18(a)(1)(B) as modified by Section 61(a)(2) of the Investment Company Act of 1940, as amended, whether or not it is subject to those requirements, and to provide financial information to the holders of the Notes and the Trustee if the Company is no longer subject to the reporting requirements under the Securities Exchange Act of 1934, as amended. Additionally, the Company has agreed to use its commercially reasonable efforts to maintain a rating of the Notes from a rating agency, as defined in the Indenture, as long as the Notes are outstanding. These covenants are subject to important limitations and exceptions that are described in the Indenture.</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Notes does not purport to be complete and is qualified in its entirety by reference to the full text of the Note Purchase Agreement and Indenture, filed as exhibits hereto and incorporated by reference herein. </w:t>
      </w:r>
    </w:p>
    <w:p>
      <w:pPr>
        <w:pStyle w:val="TextBody"/>
        <w:bidi w:val="0"/>
        <w:spacing w:before="0" w:after="0"/>
        <w:ind w:left="0" w:right="0" w:hanging="0"/>
        <w:jc w:val="left"/>
        <w:rPr/>
      </w:pPr>
      <w:r>
        <w:rPr/>
        <w:t> </w:t>
      </w:r>
    </w:p>
    <w:tbl>
      <w:tblPr>
        <w:tblW w:w="6850" w:type="dxa"/>
        <w:jc w:val="left"/>
        <w:tblInd w:w="0" w:type="dxa"/>
        <w:tblLayout w:type="fixed"/>
        <w:tblCellMar>
          <w:top w:w="0" w:type="dxa"/>
          <w:left w:w="0" w:type="dxa"/>
          <w:bottom w:w="0" w:type="dxa"/>
          <w:right w:w="0" w:type="dxa"/>
        </w:tblCellMar>
      </w:tblPr>
      <w:tblGrid>
        <w:gridCol w:w="1025"/>
        <w:gridCol w:w="5825"/>
      </w:tblGrid>
      <w:tr>
        <w:trPr/>
        <w:tc>
          <w:tcPr>
            <w:tcW w:w="1025" w:type="dxa"/>
            <w:tcBorders/>
            <w:vAlign w:val="center"/>
          </w:tcPr>
          <w:p>
            <w:pPr>
              <w:pStyle w:val="TableContents"/>
              <w:bidi w:val="0"/>
              <w:spacing w:before="0" w:after="0"/>
              <w:jc w:val="left"/>
              <w:rPr>
                <w:b/>
                <w:spacing w:val="0"/>
              </w:rPr>
            </w:pPr>
            <w:r>
              <w:rPr>
                <w:b/>
                <w:spacing w:val="0"/>
              </w:rPr>
              <w:t>Item 2.03.</w:t>
            </w:r>
          </w:p>
        </w:tc>
        <w:tc>
          <w:tcPr>
            <w:tcW w:w="58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Off-Balance</w:t>
            </w:r>
          </w:p>
          <w:p>
            <w:pPr>
              <w:pStyle w:val="TableContents"/>
              <w:bidi w:val="0"/>
              <w:spacing w:before="0" w:after="0"/>
              <w:jc w:val="left"/>
              <w:rPr>
                <w:rFonts w:ascii="Times New Roman" w:hAnsi="Times New Roman"/>
                <w:b/>
                <w:sz w:val="20"/>
              </w:rPr>
            </w:pPr>
            <w:r>
              <w:rPr>
                <w:rFonts w:ascii="Times New Roman" w:hAnsi="Times New Roman"/>
                <w:b/>
                <w:sz w:val="20"/>
              </w:rPr>
              <w:t xml:space="preserve">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Item 2.03 contained in Item 1.01 of this Current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8-K</w:t>
      </w:r>
    </w:p>
    <w:p>
      <w:pPr>
        <w:pStyle w:val="TextBody"/>
        <w:bidi w:val="0"/>
        <w:spacing w:before="120" w:after="0"/>
        <w:jc w:val="left"/>
        <w:rPr>
          <w:rFonts w:ascii="Times New Roman" w:hAnsi="Times New Roman"/>
          <w:sz w:val="20"/>
        </w:rPr>
      </w:pPr>
      <w:r>
        <w:rPr>
          <w:rFonts w:ascii="Times New Roman" w:hAnsi="Times New Roman"/>
          <w:sz w:val="20"/>
        </w:rPr>
        <w:t xml:space="preserve">is incorporated herein by reference. </w:t>
      </w:r>
    </w:p>
    <w:p>
      <w:pPr>
        <w:pStyle w:val="HorizontalLine"/>
        <w:pBdr>
          <w:bottom w:val="double" w:sz="2" w:space="0" w:color="808080"/>
        </w:pBdr>
        <w:bidi w:val="0"/>
        <w:spacing w:before="0" w:after="283"/>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0"/>
              <w:jc w:val="left"/>
              <w:rPr>
                <w:b/>
                <w:spacing w:val="0"/>
              </w:rPr>
            </w:pPr>
            <w:r>
              <w:rPr>
                <w:b/>
                <w:spacing w:val="0"/>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center"/>
              <w:rPr>
                <w:b/>
                <w:spacing w:val="0"/>
              </w:rPr>
            </w:pPr>
            <w:r>
              <w:rPr>
                <w:b/>
                <w:spacing w:val="0"/>
              </w:rPr>
              <w:t xml:space="preserve">Exhibit </w:t>
              <w:br/>
              <w:t>Number</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0"/>
              <w:jc w:val="left"/>
              <w:rPr>
                <w:b/>
                <w:spacing w:val="0"/>
              </w:rPr>
            </w:pPr>
            <w:r>
              <w:rPr>
                <w:b/>
                <w:spacing w:val="0"/>
              </w:rPr>
              <w:t>Exhibit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14630dex41.htm">
              <w:r>
                <w:rPr>
                  <w:rStyle w:val="InternetLink"/>
                </w:rPr>
                <w:t xml:space="preserve">Sixth Supplemental Indenture, dated as of March 24, 2026, relating to the 7.50% Notes due 2029, by and between the Company and U.S. Bank Trust Company, National Association, as trustee.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14630dex41.htm">
              <w:r>
                <w:rPr>
                  <w:rStyle w:val="InternetLink"/>
                </w:rPr>
                <w:t>Form of 7.50% Notes due 2029. (</w:t>
              </w:r>
            </w:hyperlink>
            <w:hyperlink w:anchor="d114630dex41.htm">
              <w:r>
                <w:rPr>
                  <w:rStyle w:val="InternetLink"/>
                  <w:i/>
                  <w:caps w:val="false"/>
                  <w:smallCaps w:val="false"/>
                  <w:spacing w:val="0"/>
                </w:rPr>
                <w:t>Incorporated by reference to Exhibit 4.1 hereto.</w:t>
              </w:r>
            </w:hyperlink>
            <w:hyperlink w:anchor="d114630dex41.htm">
              <w:r>
                <w:rPr>
                  <w:rStyle w:val="InternetLink"/>
                </w:rPr>
                <w:t xml:space="preserv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14630dex51.htm">
              <w:r>
                <w:rPr>
                  <w:rStyle w:val="InternetLink"/>
                </w:rPr>
                <w:t xml:space="preserve">Opinion of Dechert LLP, dated March 24,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14630dex101.htm">
              <w:r>
                <w:rPr>
                  <w:rStyle w:val="InternetLink"/>
                </w:rPr>
                <w:t xml:space="preserve">Note Purchase Agreement, dated March 20,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949" w:type="dxa"/>
        <w:jc w:val="left"/>
        <w:tblInd w:w="0" w:type="dxa"/>
        <w:tblLayout w:type="fixed"/>
        <w:tblCellMar>
          <w:top w:w="0" w:type="dxa"/>
          <w:left w:w="0" w:type="dxa"/>
          <w:bottom w:w="0" w:type="dxa"/>
          <w:right w:w="0" w:type="dxa"/>
        </w:tblCellMar>
      </w:tblPr>
      <w:tblGrid>
        <w:gridCol w:w="890"/>
        <w:gridCol w:w="80"/>
        <w:gridCol w:w="2979"/>
      </w:tblGrid>
      <w:tr>
        <w:trPr/>
        <w:tc>
          <w:tcPr>
            <w:tcW w:w="89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pPr>
            <w:r>
              <w:rPr/>
              <w:t>BCP INVESTMENT CORPORATION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3059"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By:</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c>
          <w:tcPr>
            <w:tcW w:w="2979" w:type="dxa"/>
            <w:tcBorders>
              <w:bottom w:val="single" w:sz="6" w:space="0" w:color="000000"/>
            </w:tcBorders>
            <w:tcMar>
              <w:bottom w:w="28" w:type="dxa"/>
            </w:tcMar>
            <w:vAlign w:val="center"/>
          </w:tcPr>
          <w:p>
            <w:pPr>
              <w:pStyle w:val="TableContents"/>
              <w:bidi w:val="0"/>
              <w:spacing w:before="0" w:after="283"/>
              <w:jc w:val="left"/>
              <w:rPr/>
            </w:pPr>
            <w:r>
              <w:rPr/>
              <w:t>/s/ Brandon Satoren</w:t>
            </w:r>
          </w:p>
        </w:tc>
      </w:tr>
      <w:tr>
        <w:trPr/>
        <w:tc>
          <w:tcPr>
            <w:tcW w:w="890" w:type="dxa"/>
            <w:tcBorders/>
            <w:vAlign w:val="center"/>
          </w:tcPr>
          <w:p>
            <w:pPr>
              <w:pStyle w:val="TableContents"/>
              <w:bidi w:val="0"/>
              <w:spacing w:before="0" w:after="283"/>
              <w:jc w:val="left"/>
              <w:rPr/>
            </w:pPr>
            <w:r>
              <w:rPr/>
              <w:t>Name:</w:t>
            </w:r>
          </w:p>
        </w:tc>
        <w:tc>
          <w:tcPr>
            <w:tcW w:w="80" w:type="dxa"/>
            <w:tcBorders/>
            <w:vAlign w:val="center"/>
          </w:tcPr>
          <w:p>
            <w:pPr>
              <w:pStyle w:val="TableContents"/>
              <w:bidi w:val="0"/>
              <w:spacing w:before="0" w:after="283"/>
              <w:jc w:val="left"/>
              <w:rPr/>
            </w:pPr>
            <w:r>
              <w:rPr/>
              <w:t> </w:t>
            </w:r>
          </w:p>
        </w:tc>
        <w:tc>
          <w:tcPr>
            <w:tcW w:w="2979" w:type="dxa"/>
            <w:tcBorders/>
            <w:vAlign w:val="center"/>
          </w:tcPr>
          <w:p>
            <w:pPr>
              <w:pStyle w:val="TableContents"/>
              <w:bidi w:val="0"/>
              <w:spacing w:before="0" w:after="283"/>
              <w:jc w:val="left"/>
              <w:rPr/>
            </w:pPr>
            <w:r>
              <w:rPr/>
              <w:t>Brandon Satoren</w:t>
            </w:r>
          </w:p>
        </w:tc>
      </w:tr>
      <w:tr>
        <w:trPr/>
        <w:tc>
          <w:tcPr>
            <w:tcW w:w="890" w:type="dxa"/>
            <w:tcBorders/>
            <w:vAlign w:val="center"/>
          </w:tcPr>
          <w:p>
            <w:pPr>
              <w:pStyle w:val="TableContents"/>
              <w:bidi w:val="0"/>
              <w:spacing w:before="0" w:after="283"/>
              <w:jc w:val="left"/>
              <w:rPr/>
            </w:pPr>
            <w:r>
              <w:rPr/>
              <w:t>Title:</w:t>
            </w:r>
          </w:p>
        </w:tc>
        <w:tc>
          <w:tcPr>
            <w:tcW w:w="80" w:type="dxa"/>
            <w:tcBorders/>
            <w:vAlign w:val="center"/>
          </w:tcPr>
          <w:p>
            <w:pPr>
              <w:pStyle w:val="TableContents"/>
              <w:bidi w:val="0"/>
              <w:spacing w:before="0" w:after="283"/>
              <w:jc w:val="left"/>
              <w:rPr/>
            </w:pPr>
            <w:r>
              <w:rPr/>
              <w:t> </w:t>
            </w:r>
          </w:p>
        </w:tc>
        <w:tc>
          <w:tcPr>
            <w:tcW w:w="2979" w:type="dxa"/>
            <w:tcBorders/>
            <w:vAlign w:val="center"/>
          </w:tcPr>
          <w:p>
            <w:pPr>
              <w:pStyle w:val="TableContents"/>
              <w:bidi w:val="0"/>
              <w:spacing w:before="0" w:after="283"/>
              <w:jc w:val="left"/>
              <w:rPr/>
            </w:pPr>
            <w:r>
              <w:rPr/>
              <w:t>Chief Financial Officer</w:t>
            </w:r>
          </w:p>
        </w:tc>
      </w:tr>
    </w:tbl>
    <w:p>
      <w:pPr>
        <w:pStyle w:val="TextBody"/>
        <w:bidi w:val="0"/>
        <w:spacing w:before="240" w:after="283"/>
        <w:jc w:val="left"/>
        <w:rPr>
          <w:rFonts w:ascii="Times New Roman" w:hAnsi="Times New Roman"/>
          <w:sz w:val="20"/>
        </w:rPr>
      </w:pPr>
      <w:r>
        <w:rPr>
          <w:rFonts w:ascii="Times New Roman" w:hAnsi="Times New Roman"/>
          <w:sz w:val="20"/>
        </w:rPr>
        <w:t xml:space="preserve">Date: March 24, 2026 </w:t>
      </w:r>
    </w:p>
    <w:p>
      <w:pPr>
        <w:pStyle w:val="TextBody"/>
        <w:bidi w:val="0"/>
        <w:spacing w:before="0" w:after="0"/>
        <w:jc w:val="right"/>
        <w:rPr>
          <w:rFonts w:ascii="Times New Roman" w:hAnsi="Times New Roman"/>
          <w:b/>
          <w:sz w:val="20"/>
        </w:rPr>
      </w:pPr>
      <w:bookmarkStart w:id="2" w:name="d114630dex41.htm"/>
      <w:bookmarkStart w:id="3" w:name="ksd114630dex41"/>
      <w:bookmarkEnd w:id="2"/>
      <w:bookmarkEnd w:id="3"/>
      <w:r>
        <w:rPr>
          <w:rFonts w:ascii="Times New Roman" w:hAnsi="Times New Roman"/>
          <w:b/>
          <w:sz w:val="20"/>
        </w:rPr>
        <w:t xml:space="preserve">Exhibit 4.1 </w:t>
      </w:r>
      <w:r>
        <w:br w:type="page"/>
      </w:r>
    </w:p>
    <w:p>
      <w:pPr>
        <w:pStyle w:val="TextBody"/>
        <w:bidi w:val="0"/>
        <w:spacing w:before="12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SUPPLEMENTAL INDENTURE </w:t>
      </w:r>
    </w:p>
    <w:p>
      <w:pPr>
        <w:pStyle w:val="TextBody"/>
        <w:bidi w:val="0"/>
        <w:spacing w:before="120" w:after="0"/>
        <w:jc w:val="center"/>
        <w:rPr>
          <w:rFonts w:ascii="Times New Roman" w:hAnsi="Times New Roman"/>
          <w:b/>
          <w:sz w:val="20"/>
        </w:rPr>
      </w:pPr>
      <w:r>
        <w:rPr>
          <w:rFonts w:ascii="Times New Roman" w:hAnsi="Times New Roman"/>
          <w:b/>
          <w:sz w:val="20"/>
        </w:rPr>
        <w:t xml:space="preserve">between </w:t>
      </w:r>
    </w:p>
    <w:p>
      <w:pPr>
        <w:pStyle w:val="TextBody"/>
        <w:bidi w:val="0"/>
        <w:spacing w:before="120" w:after="0"/>
        <w:jc w:val="center"/>
        <w:rPr>
          <w:rFonts w:ascii="Times New Roman" w:hAnsi="Times New Roman"/>
          <w:b/>
          <w:sz w:val="20"/>
        </w:rPr>
      </w:pPr>
      <w:r>
        <w:rPr>
          <w:rFonts w:ascii="Times New Roman" w:hAnsi="Times New Roman"/>
          <w:b/>
          <w:sz w:val="20"/>
        </w:rPr>
        <w:t xml:space="preserve">BCP INVESTMENT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and </w:t>
      </w:r>
    </w:p>
    <w:p>
      <w:pPr>
        <w:pStyle w:val="TextBody"/>
        <w:bidi w:val="0"/>
        <w:spacing w:before="12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12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120" w:after="0"/>
        <w:jc w:val="center"/>
        <w:rPr>
          <w:rFonts w:ascii="Times New Roman" w:hAnsi="Times New Roman"/>
          <w:b/>
          <w:sz w:val="20"/>
        </w:rPr>
      </w:pPr>
      <w:r>
        <w:rPr>
          <w:rFonts w:ascii="Times New Roman" w:hAnsi="Times New Roman"/>
          <w:b/>
          <w:sz w:val="20"/>
        </w:rPr>
        <w:t xml:space="preserve">Dated as of March 24, 2026 </w:t>
      </w:r>
    </w:p>
    <w:p>
      <w:pPr>
        <w:pStyle w:val="TextBody"/>
        <w:bidi w:val="0"/>
        <w:spacing w:before="240" w:after="0"/>
        <w:jc w:val="left"/>
        <w:rPr>
          <w:rFonts w:ascii="Times New Roman" w:hAnsi="Times New Roman"/>
          <w:sz w:val="20"/>
        </w:rPr>
      </w:pPr>
      <w:r>
        <w:rPr>
          <w:rFonts w:ascii="Times New Roman" w:hAnsi="Times New Roman"/>
          <w:sz w:val="20"/>
        </w:rPr>
        <w:t>THIS SIXTH SUPPLEMENTAL INDENTURE (this “</w:t>
      </w:r>
      <w:r>
        <w:rPr>
          <w:rFonts w:ascii="Times New Roman" w:hAnsi="Times New Roman"/>
          <w:sz w:val="20"/>
          <w:u w:val="single"/>
        </w:rPr>
        <w:t>Sixth Supplemental Indenture</w:t>
      </w:r>
      <w:r>
        <w:rPr>
          <w:rFonts w:ascii="Times New Roman" w:hAnsi="Times New Roman"/>
          <w:sz w:val="20"/>
        </w:rPr>
        <w:t>”), dated as of March 24, 2026, is between BCP Investment Corporation (f/k/a Portman Ridge Finance Corporation), a Delaware corporation (the “</w:t>
      </w:r>
      <w:r>
        <w:rPr>
          <w:rFonts w:ascii="Times New Roman" w:hAnsi="Times New Roman"/>
          <w:sz w:val="20"/>
          <w:u w:val="single"/>
        </w:rPr>
        <w:t>Company</w:t>
      </w:r>
      <w:r>
        <w:rPr>
          <w:rFonts w:ascii="Times New Roman" w:hAnsi="Times New Roman"/>
          <w:sz w:val="20"/>
        </w:rPr>
        <w:t>”), and U.S. Bank Trust Company, National Association (as successor-in-interest to U.S. Bank National Association), as trustee (the “</w:t>
      </w:r>
      <w:r>
        <w:rPr>
          <w:rFonts w:ascii="Times New Roman" w:hAnsi="Times New Roman"/>
          <w:sz w:val="20"/>
          <w:u w:val="single"/>
        </w:rPr>
        <w:t>Trustee</w:t>
      </w:r>
      <w:r>
        <w:rPr>
          <w:rFonts w:ascii="Times New Roman" w:hAnsi="Times New Roman"/>
          <w:sz w:val="20"/>
        </w:rPr>
        <w:t xml:space="preserve">”). All capitalized terms used herein shall have the meaning set forth in the Base Indenture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sz w:val="20"/>
        </w:rPr>
        <w:t>On October 10, 2012, KCAP Financial, Inc. (later known as Portman Ridge Finance Corporation and then known as BCP Investment Corporation), a Delaware Corporation, and the Trustee, executed and delivered an Indenture (the “</w:t>
      </w:r>
      <w:r>
        <w:rPr>
          <w:rFonts w:ascii="Times New Roman" w:hAnsi="Times New Roman"/>
          <w:sz w:val="20"/>
          <w:u w:val="single"/>
        </w:rPr>
        <w:t>Base Indenture</w:t>
      </w:r>
      <w:r>
        <w:rPr>
          <w:rFonts w:ascii="Times New Roman" w:hAnsi="Times New Roman"/>
          <w:sz w:val="20"/>
        </w:rPr>
        <w:t>” and, as supplemented by this Sixth Supplemental Indenture, the “</w:t>
      </w:r>
      <w:r>
        <w:rPr>
          <w:rFonts w:ascii="Times New Roman" w:hAnsi="Times New Roman"/>
          <w:sz w:val="20"/>
          <w:u w:val="single"/>
        </w:rPr>
        <w:t>Indenture</w:t>
      </w:r>
      <w:r>
        <w:rPr>
          <w:rFonts w:ascii="Times New Roman" w:hAnsi="Times New Roman"/>
          <w:sz w:val="20"/>
        </w:rPr>
        <w:t>”), to provide for the issuance by the Company from time to time of the Company’s debt securities evidencing its secured or unsecured indebtedness (the “</w:t>
      </w:r>
      <w:r>
        <w:rPr>
          <w:rFonts w:ascii="Times New Roman" w:hAnsi="Times New Roman"/>
          <w:sz w:val="20"/>
          <w:u w:val="single"/>
        </w:rPr>
        <w:t>Securities</w:t>
      </w:r>
      <w:r>
        <w:rPr>
          <w:rFonts w:ascii="Times New Roman" w:hAnsi="Times New Roman"/>
          <w:sz w:val="20"/>
        </w:rPr>
        <w:t xml:space="preserve">”), to be issued in one or more series as provided in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duly authorized the creation, issue and sale of $50,000,000 in aggregate principal amount of the Company’s 7.50% Notes due 2029 issued in the form of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Initial Notes</w:t>
      </w:r>
      <w:r>
        <w:rPr>
          <w:rFonts w:ascii="Times New Roman" w:hAnsi="Times New Roman"/>
          <w:sz w:val="20"/>
        </w:rPr>
        <w:t>”, together with any Additional Notes (as defined herein), the “</w:t>
      </w:r>
      <w:r>
        <w:rPr>
          <w:rFonts w:ascii="Times New Roman" w:hAnsi="Times New Roman"/>
          <w:sz w:val="20"/>
          <w:u w:val="single"/>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previously entered into the First Supplemental Indenture, dated as of October 10, 2012 (the “</w:t>
      </w:r>
      <w:r>
        <w:rPr>
          <w:rFonts w:ascii="Times New Roman" w:hAnsi="Times New Roman"/>
          <w:sz w:val="20"/>
          <w:u w:val="single"/>
        </w:rPr>
        <w:t>First Supplemental Indenture</w:t>
      </w:r>
      <w:r>
        <w:rPr>
          <w:rFonts w:ascii="Times New Roman" w:hAnsi="Times New Roman"/>
          <w:sz w:val="20"/>
        </w:rPr>
        <w:t>”), the Second Supplemental Indenture, dated as of August 14, 2017 (the “</w:t>
      </w:r>
      <w:r>
        <w:rPr>
          <w:rFonts w:ascii="Times New Roman" w:hAnsi="Times New Roman"/>
          <w:sz w:val="20"/>
          <w:u w:val="single"/>
        </w:rPr>
        <w:t>Second Supplemental Indenture</w:t>
      </w:r>
      <w:r>
        <w:rPr>
          <w:rFonts w:ascii="Times New Roman" w:hAnsi="Times New Roman"/>
          <w:sz w:val="20"/>
        </w:rPr>
        <w:t>”), the Third Supplemental Indenture, dated as of April 30, 2021 (the “</w:t>
      </w:r>
      <w:r>
        <w:rPr>
          <w:rFonts w:ascii="Times New Roman" w:hAnsi="Times New Roman"/>
          <w:sz w:val="20"/>
          <w:u w:val="single"/>
        </w:rPr>
        <w:t>Third Supplemental Indenture</w:t>
      </w:r>
      <w:r>
        <w:rPr>
          <w:rFonts w:ascii="Times New Roman" w:hAnsi="Times New Roman"/>
          <w:sz w:val="20"/>
        </w:rPr>
        <w:t>”), the Fourth Supplemental Indenture, dated as of October 15, 2025 (the “</w:t>
      </w:r>
      <w:r>
        <w:rPr>
          <w:rFonts w:ascii="Times New Roman" w:hAnsi="Times New Roman"/>
          <w:sz w:val="20"/>
          <w:u w:val="single"/>
        </w:rPr>
        <w:t>Fourth Supplemental Indenture</w:t>
      </w:r>
      <w:r>
        <w:rPr>
          <w:rFonts w:ascii="Times New Roman" w:hAnsi="Times New Roman"/>
          <w:sz w:val="20"/>
        </w:rPr>
        <w:t>”) and the Fifth Supplemental Indenture, dated as of October 15, 2025 (the “</w:t>
      </w:r>
      <w:r>
        <w:rPr>
          <w:rFonts w:ascii="Times New Roman" w:hAnsi="Times New Roman"/>
          <w:sz w:val="20"/>
          <w:u w:val="single"/>
        </w:rPr>
        <w:t>Fifth Supplemental Indenture</w:t>
      </w:r>
      <w:r>
        <w:rPr>
          <w:rFonts w:ascii="Times New Roman" w:hAnsi="Times New Roman"/>
          <w:sz w:val="20"/>
        </w:rPr>
        <w:t xml:space="preserve">”), each of which supplemented the Base Indenture. Neither the First Supplemental Indenture, the Second Supplemental Indenture, the Third Supplemental Indenture, the Fourth Supplemental Indenture nor the Fifth Supplemental Indenture is applicable to the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Sections 901(4) and 901(6) of the Base Indenture provide that, without the consent of Holders of the Securities of any series issued under the Base Indenture (as supplemented or amended from time to time by one or more indentures supplemental thereto), the Company, when authorized by or pursuant to a Board Resolution, and the Trustee, at any time and from time to time, may enter into one or more indentures supplemental to the Base Indenture to (i) change or eliminate any of the provisions of the Base Indenture (as supplemented or amended from time to time by one or more indentures supplemental thereto) when there is no Security Outstanding of any series created prior to the execution of such supplemental indenture that is entitled to the benefit of such provision and (ii) establish the form or terms of Securities of any series as permitted by Section 201 and Section 301 of the Base Indenture. </w:t>
      </w:r>
    </w:p>
    <w:p>
      <w:pPr>
        <w:pStyle w:val="TextBody"/>
        <w:bidi w:val="0"/>
        <w:spacing w:before="240" w:after="0"/>
        <w:jc w:val="left"/>
        <w:rPr>
          <w:rFonts w:ascii="Times New Roman" w:hAnsi="Times New Roman"/>
          <w:sz w:val="20"/>
        </w:rPr>
      </w:pPr>
      <w:r>
        <w:rPr>
          <w:rFonts w:ascii="Times New Roman" w:hAnsi="Times New Roman"/>
          <w:sz w:val="20"/>
        </w:rPr>
        <w:t>The Company desires to establish the form and terms of the Notes and to modify, alter, supplement and change certain provisions of the Base Indenture for the benefit of the Holders of the Notes (except as may be provided in a future supplemental indenture to the Indenture (each, a “</w:t>
      </w:r>
      <w:r>
        <w:rPr>
          <w:rFonts w:ascii="Times New Roman" w:hAnsi="Times New Roman"/>
          <w:sz w:val="20"/>
          <w:u w:val="single"/>
        </w:rPr>
        <w:t>Future Supplemental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duly authorized the execution and delivery of this Sixth Supplemental Indenture to provide for the issuance of the Notes and all acts and things necessary to make this Sixth Supplemental Indenture a valid, binding, and legal obligation of the Company and to constitute a valid agreement of the Company, in accordance with its terms, have been done and performed.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w:t>
      </w:r>
    </w:p>
    <w:p>
      <w:pPr>
        <w:pStyle w:val="TextBody"/>
        <w:bidi w:val="0"/>
        <w:spacing w:before="120" w:after="0"/>
        <w:jc w:val="left"/>
        <w:rPr>
          <w:rFonts w:ascii="Times New Roman" w:hAnsi="Times New Roman"/>
          <w:sz w:val="20"/>
        </w:rPr>
      </w:pPr>
      <w:r>
        <w:rPr>
          <w:rFonts w:ascii="Times New Roman" w:hAnsi="Times New Roman"/>
          <w:sz w:val="20"/>
        </w:rPr>
        <w:t xml:space="preserve">For and in consideration of the premises and the purchase of the Notes by the Holders thereof, it is mutually agreed, for the equal and proportionate benefit of all Holders of the Notes,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TERMS OF THE NOTES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sz w:val="20"/>
          <w:u w:val="single"/>
        </w:rPr>
        <w:t>Terms of the Notes</w:t>
      </w:r>
      <w:r>
        <w:rPr>
          <w:rFonts w:ascii="Times New Roman" w:hAnsi="Times New Roman"/>
          <w:sz w:val="20"/>
        </w:rPr>
        <w:t xml:space="preserve">. The following terms relating to the Notes are hereby established: </w:t>
      </w:r>
    </w:p>
    <w:p>
      <w:pPr>
        <w:pStyle w:val="TextBody"/>
        <w:bidi w:val="0"/>
        <w:spacing w:before="120" w:after="0"/>
        <w:jc w:val="left"/>
        <w:rPr>
          <w:rFonts w:ascii="Times New Roman" w:hAnsi="Times New Roman"/>
          <w:sz w:val="20"/>
        </w:rPr>
      </w:pPr>
      <w:r>
        <w:rPr>
          <w:rFonts w:ascii="Times New Roman" w:hAnsi="Times New Roman"/>
          <w:sz w:val="20"/>
        </w:rPr>
        <w:t xml:space="preserve">(a) The Notes shall constitute a series of Senior Securities having the title “7.50% Notes due 2029”. The Notes shall bear a CUSIP number of 73688F AF9 and an ISIN number of US73688FAF99. </w:t>
      </w:r>
    </w:p>
    <w:p>
      <w:pPr>
        <w:pStyle w:val="TextBody"/>
        <w:bidi w:val="0"/>
        <w:spacing w:before="240" w:after="0"/>
        <w:jc w:val="left"/>
        <w:rPr>
          <w:rFonts w:ascii="Times New Roman" w:hAnsi="Times New Roman"/>
          <w:sz w:val="20"/>
        </w:rPr>
      </w:pPr>
      <w:r>
        <w:rPr>
          <w:rFonts w:ascii="Times New Roman" w:hAnsi="Times New Roman"/>
          <w:sz w:val="20"/>
        </w:rPr>
        <w:t>(b) The aggregate principal amount of the Initial Notes that may be initially authenticated and delivered under the Indenture (except for Initial Notes authenticated and delivered upon registration of, transfer of, or in exchange for, or in lieu of, other Notes pursuant to Sections 304, 305, 306, 906, 1107 or 1305 of the Base Indenture, and except for any Securities that, pursuant to Section 303 of the Base Indenture, are deemed never to have been authenticated and delivered under the Indenture) shall be $50,000,000. Under a Board Resolution, Officers’ Certificate pursuant to Board Resolutions or a Future Supplemental Indenture, the Company may from time to time, without the consent of the Holders of Notes, issue additional Notes (in any such case, “</w:t>
      </w:r>
      <w:r>
        <w:rPr>
          <w:rFonts w:ascii="Times New Roman" w:hAnsi="Times New Roman"/>
          <w:sz w:val="20"/>
          <w:u w:val="single"/>
        </w:rPr>
        <w:t>Additional Notes</w:t>
      </w:r>
      <w:r>
        <w:rPr>
          <w:rFonts w:ascii="Times New Roman" w:hAnsi="Times New Roman"/>
          <w:sz w:val="20"/>
        </w:rPr>
        <w:t xml:space="preserve">”) having the same ranking and the same interest rate, maturity and other terms as the Notes; </w:t>
      </w:r>
      <w:r>
        <w:rPr>
          <w:rFonts w:ascii="Times New Roman" w:hAnsi="Times New Roman"/>
          <w:i/>
          <w:sz w:val="20"/>
        </w:rPr>
        <w:t>provided that</w:t>
      </w:r>
      <w:r>
        <w:rPr>
          <w:rFonts w:ascii="Times New Roman" w:hAnsi="Times New Roman"/>
          <w:sz w:val="20"/>
        </w:rPr>
        <w:t xml:space="preserve">, if such Additional Notes are not fungible with the Notes (or any other tranche of Additional Notes) for U.S. federal income tax purposes, then such Additional Notes shall have different CUSIP numbers from the Notes (and any such other tranche of Additional Notes). Any Additional Notes and the existing Notes shall constitute a single series under the Indenture, and all references to the relevant Notes herein shall include the Additional Notes unless the context otherwise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entire outstanding principal of the Notes shall be payable on September 24, 2029 unless earlier redeemed or repurchased in accordance with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(d) The rate at which the Notes shall bear interest shall be 7.50% per annum. The date from which interest shall accrue on the Notes shall be March 24, 2026, or the most recent Interest Payment Date to which interest has been paid or provided for; the Interest Payment Dates for the Notes shall be April 30 and October 30 of each year, commencing April 30, 2026 (</w:t>
      </w:r>
      <w:r>
        <w:rPr>
          <w:rFonts w:ascii="Times New Roman" w:hAnsi="Times New Roman"/>
          <w:i/>
          <w:sz w:val="20"/>
        </w:rPr>
        <w:t>provided that</w:t>
      </w:r>
      <w:r>
        <w:rPr>
          <w:rFonts w:ascii="Times New Roman" w:hAnsi="Times New Roman"/>
          <w:sz w:val="20"/>
        </w:rPr>
        <w:t xml:space="preserve">, if an Interest Payment Date falls on a day that is not a Business Day, then the applicable interest payment shall be made on the next succeeding Business Day and no additional interest shall accrue as a result of such delayed payment); the initial interest period shall be the period from and including March 24, 2026, to, but excluding, the initial Interest Payment Date, and the subsequent interest periods shall be the periods from and including an Interest Payment Date to, but excluding, the next Interest Payment Date or the Stated Maturity, as the case may be; the interest so payable, and punctually paid or duly provided for, on any Interest Payment Date, shall be paid to the Person in whose name the Note (or one or more Predecessor Securities) is registered at the close of business on the Regular Record Date for such interest, which shall be April 15 and October 15 (whether or not a Business Day), as the case may be, next preceding such Interest Payment Date. Payment of principal of (and premium, if any, on) and any such interest on the Notes shall be made at the office of the Trustee located at 60 Livingston Avenue, St. Paul, MN 55107, Attention: BCP Investment Corporation (7.50% Notes Due 2029) or at such other address as designated by the Trustee,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option of the Company, payment of interest may be made by check mailed to the address of the Person entitled thereto as such address shall appear in the Security Register; </w:t>
      </w:r>
      <w:r>
        <w:rPr>
          <w:rFonts w:ascii="Times New Roman" w:hAnsi="Times New Roman"/>
          <w:i/>
          <w:sz w:val="20"/>
        </w:rPr>
        <w:t>provided, further, however</w:t>
      </w:r>
      <w:r>
        <w:rPr>
          <w:rFonts w:ascii="Times New Roman" w:hAnsi="Times New Roman"/>
          <w:sz w:val="20"/>
        </w:rPr>
        <w:t xml:space="preserve">, that, at the request of the registered Holder, the Company will pay the principal of (and premium, if any, on) and interest, if any, on the Notes by wire transfer of immediately available funds to an account at a bank in New York City, on the date when such amount is due and payable and as further set forth in Section 1001 of the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so long as the Notes are registered to Cede &amp; Co., such payment will be made by wire transfer in accordance with the procedures established by The Depository Trust Company and the Trustee. Interest on the Notes shall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(e) The Notes shall be initially issuable in global form (each such Note, a “</w:t>
      </w:r>
      <w:r>
        <w:rPr>
          <w:rFonts w:ascii="Times New Roman" w:hAnsi="Times New Roman"/>
          <w:sz w:val="20"/>
          <w:u w:val="single"/>
        </w:rPr>
        <w:t>Global Note</w:t>
      </w:r>
      <w:r>
        <w:rPr>
          <w:rFonts w:ascii="Times New Roman" w:hAnsi="Times New Roman"/>
          <w:sz w:val="20"/>
        </w:rPr>
        <w:t xml:space="preserve">”). The Global Notes and the Trustee’s certificate of authentication thereon shall be substantially in the form of </w:t>
      </w:r>
      <w:r>
        <w:rPr>
          <w:rFonts w:ascii="Times New Roman" w:hAnsi="Times New Roman"/>
          <w:sz w:val="20"/>
          <w:u w:val="single"/>
        </w:rPr>
        <w:t>Exhibit A</w:t>
      </w:r>
      <w:r>
        <w:rPr>
          <w:rFonts w:ascii="Times New Roman" w:hAnsi="Times New Roman"/>
          <w:sz w:val="20"/>
        </w:rPr>
        <w:t xml:space="preserve"> to this Sixth Supplemental Indenture. Each Global Note shall represent the aggregate principal amount of the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The depository for such Global Notes (the “</w:t>
      </w:r>
      <w:r>
        <w:rPr>
          <w:rFonts w:ascii="Times New Roman" w:hAnsi="Times New Roman"/>
          <w:sz w:val="20"/>
          <w:u w:val="single"/>
        </w:rPr>
        <w:t>Depository</w:t>
      </w:r>
      <w:r>
        <w:rPr>
          <w:rFonts w:ascii="Times New Roman" w:hAnsi="Times New Roman"/>
          <w:sz w:val="20"/>
        </w:rPr>
        <w:t xml:space="preserve">”) shall be The Depository Trust Company, New York, New York, until a successor shall have been appointed and become such person, and thereafter, Depository shall mean or include such successor. The Security Registrar with respect to the Global Notes shall be the Trustee. </w:t>
      </w:r>
    </w:p>
    <w:p>
      <w:pPr>
        <w:pStyle w:val="TextBody"/>
        <w:bidi w:val="0"/>
        <w:spacing w:before="240" w:after="0"/>
        <w:jc w:val="left"/>
        <w:rPr>
          <w:rFonts w:ascii="Times New Roman" w:hAnsi="Times New Roman"/>
          <w:sz w:val="20"/>
        </w:rPr>
      </w:pPr>
      <w:r>
        <w:rPr>
          <w:rFonts w:ascii="Times New Roman" w:hAnsi="Times New Roman"/>
          <w:sz w:val="20"/>
        </w:rPr>
        <w:t xml:space="preserve">(g) The Notes shall be defeasible pursuant to Section 1402 or Section 1403 of the Base Indenture. Covenant defeasance contained in Section 1403 of the Base Indenture shall apply to the covenants contained in Sections 1007, 1008 and 1009 of the Indenture. For the avoidance of doubt, Article Four of the Base Indenture also applies to the Notes. </w:t>
      </w:r>
    </w:p>
    <w:p>
      <w:pPr>
        <w:pStyle w:val="TextBody"/>
        <w:bidi w:val="0"/>
        <w:spacing w:before="240" w:after="0"/>
        <w:jc w:val="left"/>
        <w:rPr>
          <w:rFonts w:ascii="Times New Roman" w:hAnsi="Times New Roman"/>
          <w:sz w:val="20"/>
        </w:rPr>
      </w:pPr>
      <w:r>
        <w:rPr>
          <w:rFonts w:ascii="Times New Roman" w:hAnsi="Times New Roman"/>
          <w:sz w:val="20"/>
        </w:rPr>
        <w:t xml:space="preserve">(h) The Notes shall be redeemable pursuant to Section 1101 of the Base Indenture and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Notes shall be redeemable in whole or in part at any time or from time to time, at the option of the Company, at a Redemption Price (calculated by the Company and reported to the Trustee) equal to the greater of the following amounts, plus, in each case, accrued and unpaid interest to, but excluding, the Redemption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the present value of the remaining scheduled payments of principal and interest (exclusive of accrued and unpaid interest to the Redemption Date) on the Notes to be redeemed, discounted to the Redemption Date (assuming the Notes matured on the Par Call Date) on a semi-annual basis (assuming a 360-day year consisting of twelve 30-day months) using the applicable Treasury Rate plus 50 basis points;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if the Company redeems any Notes on or after the Par Call Date, the Redemption Price for the Notes will be equal to 100% of the principal amount of the Notes to be redeemed, plus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calculating the Redemption Price in connection with the redemption of the Notes, on any Redemption Date, the following terms have the meanings set forth below: </w:t>
      </w:r>
    </w:p>
    <w:p>
      <w:pPr>
        <w:pStyle w:val="TextBody"/>
        <w:bidi w:val="0"/>
        <w:spacing w:before="120" w:after="0"/>
        <w:jc w:val="left"/>
        <w:rPr/>
      </w:pPr>
      <w:r>
        <w:rPr/>
        <w:t>“</w:t>
      </w:r>
      <w:r>
        <w:rPr>
          <w:rFonts w:ascii="Times New Roman" w:hAnsi="Times New Roman"/>
          <w:sz w:val="20"/>
          <w:u w:val="single"/>
        </w:rPr>
        <w:t>Comparable Treasury Issue</w:t>
      </w:r>
      <w:r>
        <w:rPr>
          <w:rFonts w:ascii="Times New Roman" w:hAnsi="Times New Roman"/>
          <w:sz w:val="20"/>
        </w:rPr>
        <w:t xml:space="preserv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 </w:t>
      </w:r>
    </w:p>
    <w:p>
      <w:pPr>
        <w:pStyle w:val="TextBody"/>
        <w:bidi w:val="0"/>
        <w:spacing w:before="240" w:after="0"/>
        <w:jc w:val="left"/>
        <w:rPr/>
      </w:pPr>
      <w:r>
        <w:rPr/>
        <w:t>“</w:t>
      </w:r>
      <w:r>
        <w:rPr>
          <w:rFonts w:ascii="Times New Roman" w:hAnsi="Times New Roman"/>
          <w:sz w:val="20"/>
          <w:u w:val="single"/>
        </w:rPr>
        <w:t>Comparable Treasury Price</w:t>
      </w:r>
      <w:r>
        <w:rPr>
          <w:rFonts w:ascii="Times New Roman" w:hAnsi="Times New Roman"/>
          <w:sz w:val="20"/>
        </w:rPr>
        <w:t xml:space="preserve">” means (1) the average of the Reference Treasury Dealer Quotations for the Redemption Date, after excluding the highest and lowest Reference Treasury Dealer Quotations, or (2) if the Quotation Agent obtains fewer than four such Reference Treasury Dealer Quotations, the average of all such quotations.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 Call Date</w:t>
      </w:r>
      <w:r>
        <w:rPr>
          <w:rFonts w:ascii="Times New Roman" w:hAnsi="Times New Roman"/>
          <w:sz w:val="20"/>
        </w:rPr>
        <w:t xml:space="preserve">” means April 24, 2029, which is the date that is five months prior to the maturity date of the Notes. </w:t>
      </w:r>
    </w:p>
    <w:p>
      <w:pPr>
        <w:pStyle w:val="TextBody"/>
        <w:bidi w:val="0"/>
        <w:spacing w:before="240" w:after="0"/>
        <w:jc w:val="left"/>
        <w:rPr/>
      </w:pPr>
      <w:r>
        <w:rPr/>
        <w:t>“</w:t>
      </w:r>
      <w:r>
        <w:rPr>
          <w:rFonts w:ascii="Times New Roman" w:hAnsi="Times New Roman"/>
          <w:sz w:val="20"/>
          <w:u w:val="single"/>
        </w:rPr>
        <w:t>Quotation Agent</w:t>
      </w:r>
      <w:r>
        <w:rPr>
          <w:rFonts w:ascii="Times New Roman" w:hAnsi="Times New Roman"/>
          <w:sz w:val="20"/>
        </w:rPr>
        <w:t xml:space="preserve">” means a Reference Treasury Dealer selected by the Company. </w:t>
      </w:r>
    </w:p>
    <w:p>
      <w:pPr>
        <w:pStyle w:val="TextBody"/>
        <w:bidi w:val="0"/>
        <w:spacing w:before="240" w:after="0"/>
        <w:jc w:val="left"/>
        <w:rPr/>
      </w:pPr>
      <w:r>
        <w:rPr/>
        <w:t>“</w:t>
      </w:r>
      <w:r>
        <w:rPr>
          <w:rFonts w:ascii="Times New Roman" w:hAnsi="Times New Roman"/>
          <w:sz w:val="20"/>
          <w:u w:val="single"/>
        </w:rPr>
        <w:t>Reference Treasury Dealer</w:t>
      </w:r>
      <w:r>
        <w:rPr>
          <w:rFonts w:ascii="Times New Roman" w:hAnsi="Times New Roman"/>
          <w:sz w:val="20"/>
        </w:rPr>
        <w:t xml:space="preserve">” means each of any four primary U.S. government securities dealers selected by the Company. </w:t>
      </w:r>
    </w:p>
    <w:p>
      <w:pPr>
        <w:pStyle w:val="TextBody"/>
        <w:bidi w:val="0"/>
        <w:spacing w:before="240" w:after="0"/>
        <w:jc w:val="left"/>
        <w:rPr/>
      </w:pPr>
      <w:r>
        <w:rPr/>
        <w:t>“</w:t>
      </w:r>
      <w:r>
        <w:rPr>
          <w:rFonts w:ascii="Times New Roman" w:hAnsi="Times New Roman"/>
          <w:sz w:val="20"/>
          <w:u w:val="single"/>
        </w:rPr>
        <w:t>Reference Treasury Dealer Quotations</w:t>
      </w:r>
      <w:r>
        <w:rPr>
          <w:rFonts w:ascii="Times New Roman" w:hAnsi="Times New Roman"/>
          <w:sz w:val="20"/>
        </w:rPr>
        <w:t xml:space="preserve">”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 All determinations made by any Reference Treasury Dealer, including the Quotation Agent, with respect to determining the Redemption Price will be final and binding absent manifest error. </w:t>
      </w:r>
    </w:p>
    <w:p>
      <w:pPr>
        <w:pStyle w:val="TextBody"/>
        <w:bidi w:val="0"/>
        <w:spacing w:before="240" w:after="0"/>
        <w:jc w:val="left"/>
        <w:rPr/>
      </w:pPr>
      <w:r>
        <w:rPr/>
        <w:t>“</w:t>
      </w:r>
      <w:r>
        <w:rPr>
          <w:rFonts w:ascii="Times New Roman" w:hAnsi="Times New Roman"/>
          <w:sz w:val="20"/>
          <w:u w:val="single"/>
        </w:rPr>
        <w:t>Treasury Rate</w:t>
      </w:r>
      <w:r>
        <w:rPr>
          <w:rFonts w:ascii="Times New Roman" w:hAnsi="Times New Roman"/>
          <w:sz w:val="20"/>
        </w:rPr>
        <w:t xml:space="preserv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 Notice of redemption shall be given in writing and mailed, first-class postage prepaid or by overnight courier guaranteeing next-day delivery, to each Holder of the Notes to be redeemed, not less than thirty (30) nor more than sixty (60) days prior to the Redemption Date, at the Holder’s address appearing in the Security Register; provided however that so long as the Notes are registered to Cede &amp; Co., such notice shall be given in accordance with the procedures established by The Depository Trust Company and the Trustee. All notices of redemption shall contain the information set forth in Section 1104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(iii) Any exercise of the Company’s option to redeem the Notes shall be done in compliance with the Indenture and the Investment Company Act,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(iv) If the Company elects to redeem less than all of the Notes, the Trustee or, with respect to the Global Notes, the Depository shall determine the method for selecting the particular Notes to be redeemed, in accordance with Section 1103 of the Base Indenture, the Investment Company Act and the rules of any national securities exchange or quotation system on which the Notes are listed, in each case to the extent applicable; </w:t>
      </w:r>
      <w:r>
        <w:rPr>
          <w:rFonts w:ascii="Times New Roman" w:hAnsi="Times New Roman"/>
          <w:i/>
          <w:sz w:val="20"/>
        </w:rPr>
        <w:t>provided, however,</w:t>
      </w:r>
      <w:r>
        <w:rPr>
          <w:rFonts w:ascii="Times New Roman" w:hAnsi="Times New Roman"/>
          <w:sz w:val="20"/>
        </w:rPr>
        <w:t xml:space="preserve"> that no such partial redemption shall reduce the portion of the principal amount of a Note not redeemed to less than $1,000. </w:t>
      </w:r>
    </w:p>
    <w:p>
      <w:pPr>
        <w:pStyle w:val="TextBody"/>
        <w:bidi w:val="0"/>
        <w:spacing w:before="240" w:after="0"/>
        <w:jc w:val="left"/>
        <w:rPr>
          <w:rFonts w:ascii="Times New Roman" w:hAnsi="Times New Roman"/>
          <w:sz w:val="20"/>
        </w:rPr>
      </w:pPr>
      <w:r>
        <w:rPr>
          <w:rFonts w:ascii="Times New Roman" w:hAnsi="Times New Roman"/>
          <w:sz w:val="20"/>
        </w:rPr>
        <w:t xml:space="preserve">(v) Unless the Company defaults in payment of the Redemption Price, on and after the Redemption Date, interest shall cease to accrue on the Notes called for redemption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Notes shall not be subject to any sinking fund pursuant to Section 1201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(j) The Notes shall be issuable in minimum denominations of $1,000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(k) Holders of the Notes shall not have the option to have the Notes repaid prior to the Stated Maturity, other than in accordance with Article Thirteen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(l) The Notes are hereby designated as “Senior Securities” under the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w:t>
      </w:r>
      <w:r>
        <w:rPr>
          <w:rFonts w:ascii="Times New Roman" w:hAnsi="Times New Roman"/>
          <w:sz w:val="20"/>
        </w:rPr>
        <w:t xml:space="preserve"> </w:t>
      </w:r>
      <w:r>
        <w:rPr>
          <w:rFonts w:ascii="Times New Roman" w:hAnsi="Times New Roman"/>
          <w:sz w:val="20"/>
          <w:u w:val="single"/>
        </w:rPr>
        <w:t>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Transfer and Exchange of Global Notes</w:t>
      </w:r>
      <w:r>
        <w:rPr>
          <w:rFonts w:ascii="Times New Roman" w:hAnsi="Times New Roman"/>
          <w:sz w:val="20"/>
        </w:rPr>
        <w:t xml:space="preserve">. A Global Note may not be transferred as a whole except by the Depository to a nominee of the Depository, by a nominee of the Depository to the Depository or to another nominee of the Depository, or by the Depository or any such nominee to a successor Depository or a nominee of such successor Depository. All Global Notes will be exchanged by the Company for Definitive Notes only if (i) the Company delivers to the Trustee notice from the Depository that it is unwilling or unable to continue to act as Depository or that it ceases to be a clearing agency registered under the Exchange Act and, in either case, a successor Depository is not appointed by the Company within 90 days after the date of such notice from the Depository or of such cessation, (ii) the Company in its sole discretion determines that the Global Notes (in whole but not in part) should be exchanged for Definitive Notes and delivers a written notice to such effect to the Trustee or (iii) an Event of Default has occurred or is continuing. Global Notes also may be exchanged or replaced, in whole or in part, as provided in Sections 304 and 306 of the Base Indenture. Every Note authenticated and delivered in exchange for, or in lieu of, a Global Note or any portion thereof, pursuant to this </w:t>
      </w:r>
      <w:r>
        <w:rPr>
          <w:rFonts w:ascii="Times New Roman" w:hAnsi="Times New Roman"/>
          <w:sz w:val="20"/>
          <w:u w:val="single"/>
        </w:rPr>
        <w:t>Section 1.02</w:t>
      </w:r>
      <w:r>
        <w:rPr>
          <w:rFonts w:ascii="Times New Roman" w:hAnsi="Times New Roman"/>
          <w:sz w:val="20"/>
        </w:rPr>
        <w:t xml:space="preserve"> or Sections 304 and 305 of the Base Indenture, shall be authenticated and delivered in the form of, and shall be, a Global Note. A Global Note may not be exchanged for another Note other than as provided in this </w:t>
      </w:r>
      <w:r>
        <w:rPr>
          <w:rFonts w:ascii="Times New Roman" w:hAnsi="Times New Roman"/>
          <w:sz w:val="20"/>
          <w:u w:val="single"/>
        </w:rPr>
        <w:t>Section 1.02(a)</w:t>
      </w:r>
      <w:r>
        <w:rPr>
          <w:rFonts w:ascii="Times New Roman" w:hAnsi="Times New Roman"/>
          <w:sz w:val="20"/>
        </w:rPr>
        <w:t xml:space="preserve">; however, beneficial interests in a Global Note may be transferred and exchanged as provided in </w:t>
      </w:r>
      <w:r>
        <w:rPr>
          <w:rFonts w:ascii="Times New Roman" w:hAnsi="Times New Roman"/>
          <w:sz w:val="20"/>
          <w:u w:val="single"/>
        </w:rPr>
        <w:t>Section 1.02(b)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Transfer and Exchange of Beneficial Interests in the Global Notes</w:t>
      </w:r>
      <w:r>
        <w:rPr>
          <w:rFonts w:ascii="Times New Roman" w:hAnsi="Times New Roman"/>
          <w:sz w:val="20"/>
        </w:rPr>
        <w:t xml:space="preserve">. The transfer and exchange of beneficial interests in the Global Notes shall be effected through the Depository,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subsections (i) through (vi) below, as applicable, as well as one or more of the other following subsections,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Transfer of Beneficial Interests in the Same Global Note</w:t>
      </w:r>
      <w:r>
        <w:rPr>
          <w:rFonts w:ascii="Times New Roman" w:hAnsi="Times New Roman"/>
          <w:sz w:val="20"/>
        </w:rPr>
        <w:t xml:space="preserve">. Beneficial interests in any Restricted Global Note may be transferred to Persons who take delivery thereof in the form of a beneficial interest in the same Restricted Global Note in accordance with the transfer restrictions set forth in the Restricted Notes Legend. Beneficial interests in any Unrestricted Global Note may be transferred to Persons who take delivery thereof in the form of a beneficial interest in an Unrestricted Global Note. No written orders or instructions shall be required to be delivered to the Security Registrar to effect the transfers described in this </w:t>
      </w:r>
      <w:r>
        <w:rPr>
          <w:rFonts w:ascii="Times New Roman" w:hAnsi="Times New Roman"/>
          <w:sz w:val="20"/>
          <w:u w:val="single"/>
        </w:rPr>
        <w:t>Section 1.02(b)(i)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All Other Transfers and Exchanges of Beneficial Interests in Global Notes</w:t>
      </w:r>
      <w:r>
        <w:rPr>
          <w:rFonts w:ascii="Times New Roman" w:hAnsi="Times New Roman"/>
          <w:sz w:val="20"/>
        </w:rPr>
        <w:t xml:space="preserve">. In connection with all transfers and exchanges of beneficial interests that are not subject to Section 1.02(b)(i) above, the transferor of such beneficial interest must deliver to the Security Registrar (A) a written order from a Participant or an Indirect Participant given to the Depository in accordance with the Applicable Procedures directing the Depository to credit or cause to be credited a beneficial interest in another Global Note in an amount equal to the beneficial interest to be transferred or exchanged and (B) instructions given in accordance with the Applicable Procedures containing information regarding the Participant account to be credited with such increase. Upon satisfaction of all of the requirements for transfer or exchange of beneficial interests in Global Notes contained in this Indenture and the Notes, the Trustee shall adjust the principal amount of the relevant Global Note(s) pursuant to </w:t>
      </w:r>
      <w:r>
        <w:rPr>
          <w:rFonts w:ascii="Times New Roman" w:hAnsi="Times New Roman"/>
          <w:sz w:val="20"/>
          <w:u w:val="single"/>
        </w:rPr>
        <w:t>Section 1.02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1.03</w:t>
      </w:r>
      <w:r>
        <w:rPr>
          <w:rFonts w:ascii="Times New Roman" w:hAnsi="Times New Roman"/>
          <w:sz w:val="20"/>
        </w:rPr>
        <w:t xml:space="preserve"> For purposes of this Sixth Supplemental Indenture, the following terms have the meanings set forth below: </w:t>
      </w:r>
    </w:p>
    <w:p>
      <w:pPr>
        <w:pStyle w:val="TextBody"/>
        <w:bidi w:val="0"/>
        <w:spacing w:before="120" w:after="0"/>
        <w:jc w:val="left"/>
        <w:rPr/>
      </w:pPr>
      <w:r>
        <w:rPr/>
        <w:t>“</w:t>
      </w:r>
      <w:r>
        <w:rPr>
          <w:rFonts w:ascii="Times New Roman" w:hAnsi="Times New Roman"/>
          <w:sz w:val="20"/>
          <w:u w:val="single"/>
        </w:rPr>
        <w:t>Applicable Procedures</w:t>
      </w:r>
      <w:r>
        <w:rPr>
          <w:rFonts w:ascii="Times New Roman" w:hAnsi="Times New Roman"/>
          <w:sz w:val="20"/>
        </w:rPr>
        <w:t xml:space="preserve">” means, with respect to any transfer, redemption, tender or exchange of or for beneficial interests in any Global Note, the rules and procedures of the Depository that apply to such transfer or exchange. </w:t>
      </w:r>
    </w:p>
    <w:p>
      <w:pPr>
        <w:pStyle w:val="TextBody"/>
        <w:bidi w:val="0"/>
        <w:spacing w:before="240" w:after="0"/>
        <w:jc w:val="left"/>
        <w:rPr/>
      </w:pPr>
      <w:r>
        <w:rPr/>
        <w:t>“</w:t>
      </w:r>
      <w:r>
        <w:rPr>
          <w:rFonts w:ascii="Times New Roman" w:hAnsi="Times New Roman"/>
          <w:sz w:val="20"/>
          <w:u w:val="single"/>
        </w:rPr>
        <w:t>Global Notes</w:t>
      </w:r>
      <w:r>
        <w:rPr>
          <w:rFonts w:ascii="Times New Roman" w:hAnsi="Times New Roman"/>
          <w:sz w:val="20"/>
        </w:rPr>
        <w:t xml:space="preserve">” means, individually and collectively, each of the Global Notes, substantially in the form of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Indirect Participant</w:t>
      </w:r>
      <w:r>
        <w:rPr>
          <w:rFonts w:ascii="Times New Roman" w:hAnsi="Times New Roman"/>
          <w:sz w:val="20"/>
        </w:rPr>
        <w:t xml:space="preserve">” means a Person who holds a beneficial interest in a Global Note through a Participant.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means, with respect to the Depository, a Person who has an account with the Depository.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Article One of the Base Indenture shall be amended by replacing the definitions of “Business Day” and “Corporate Trust Office” in Section 101 with the following: </w:t>
      </w:r>
    </w:p>
    <w:p>
      <w:pPr>
        <w:pStyle w:val="TextBody"/>
        <w:bidi w:val="0"/>
        <w:spacing w:before="120" w:after="0"/>
        <w:jc w:val="left"/>
        <w:rPr/>
      </w:pPr>
      <w:r>
        <w:rPr/>
        <w:t>“‘</w:t>
      </w:r>
      <w:r>
        <w:rPr>
          <w:rFonts w:ascii="Times New Roman" w:hAnsi="Times New Roman"/>
          <w:sz w:val="20"/>
          <w:u w:val="single"/>
        </w:rPr>
        <w:t>Business Day</w:t>
      </w:r>
      <w:r>
        <w:rPr>
          <w:rFonts w:ascii="Times New Roman" w:hAnsi="Times New Roman"/>
          <w:sz w:val="20"/>
        </w:rPr>
        <w:t xml:space="preserve">’, when used with respect to any Place of Payment or any other particular location referred to in this Indenture or in the Securities, means, unless otherwise specified with respect to any Securities pursuant to Section 301, each Monday, Tuesday, Wednesday, Thursday and Friday that is not a day on which banking institutions in The City of New York or that Place of Payment or particular location are authorized or obligated by law or executive order to close.”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Corporate Trust Office</w:t>
      </w:r>
      <w:r>
        <w:rPr>
          <w:rFonts w:ascii="Times New Roman" w:hAnsi="Times New Roman"/>
          <w:sz w:val="20"/>
        </w:rPr>
        <w:t xml:space="preserve">’ means the principal office of the Trustee at which at any time its corporate trust business shall be administered, which office at the date hereof for purposes of Section 1002 only is located at One Federal Street, Boston, Massachusetts 02110, Attention: BCP Investment Corporation, and for all other purposes is located at 650 Madison Avenue, 3rd Floor, New York, New York 10022, Attention: BCP Investment Corporation,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104 of the Base Indenture shall be amended by replacing clause (d) thereof with the following: </w:t>
      </w:r>
    </w:p>
    <w:p>
      <w:pPr>
        <w:pStyle w:val="TextBody"/>
        <w:bidi w:val="0"/>
        <w:spacing w:before="120" w:after="0"/>
        <w:jc w:val="left"/>
        <w:rPr/>
      </w:pPr>
      <w:r>
        <w:rPr/>
        <w:t>“</w:t>
      </w:r>
      <w:r>
        <w:rPr>
          <w:rFonts w:ascii="Times New Roman" w:hAnsi="Times New Roman"/>
          <w:sz w:val="20"/>
        </w:rPr>
        <w:t xml:space="preserve">(d) 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Section 316(c) of the Trust Indenture Act, such record date shall be the record date specified in or pursuant to such Board Resolution, which shall be a date not earlier than the date thirty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eleven months after the record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3.01</w:t>
      </w:r>
      <w:r>
        <w:rPr>
          <w:rFonts w:ascii="Times New Roman" w:hAnsi="Times New Roman"/>
          <w:sz w:val="20"/>
        </w:rPr>
        <w:t xml:space="preserve"> 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Section 501 of the Base Indenture shall be amended by replacing clause (2) thereof with the following: </w:t>
      </w:r>
    </w:p>
    <w:p>
      <w:pPr>
        <w:pStyle w:val="TextBody"/>
        <w:bidi w:val="0"/>
        <w:spacing w:before="120" w:after="0"/>
        <w:jc w:val="left"/>
        <w:rPr/>
      </w:pPr>
      <w:r>
        <w:rPr/>
        <w:t>“</w:t>
      </w:r>
      <w:r>
        <w:rPr>
          <w:rFonts w:ascii="Times New Roman" w:hAnsi="Times New Roman"/>
          <w:sz w:val="20"/>
        </w:rPr>
        <w:t xml:space="preserve">(2) default in the payment of the principal of (or premium, if any, on) any Security of that series when it becomes due and payable at its Maturity;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Section 501 of the Base Indenture shall be amended by replacing clause (6) thereof with the following: </w:t>
      </w:r>
    </w:p>
    <w:p>
      <w:pPr>
        <w:pStyle w:val="TextBody"/>
        <w:bidi w:val="0"/>
        <w:spacing w:before="120" w:after="0"/>
        <w:jc w:val="left"/>
        <w:rPr/>
      </w:pPr>
      <w:r>
        <w:rPr/>
        <w:t>“</w:t>
      </w:r>
      <w:r>
        <w:rPr>
          <w:rFonts w:ascii="Times New Roman" w:hAnsi="Times New Roman"/>
          <w:sz w:val="20"/>
        </w:rPr>
        <w:t xml:space="preserve">(6)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(A) is for relief against the Company in an involuntary case or proceeding, or </w:t>
      </w:r>
    </w:p>
    <w:p>
      <w:pPr>
        <w:pStyle w:val="TextBody"/>
        <w:bidi w:val="0"/>
        <w:spacing w:before="120" w:after="0"/>
        <w:jc w:val="left"/>
        <w:rPr>
          <w:rFonts w:ascii="Times New Roman" w:hAnsi="Times New Roman"/>
          <w:sz w:val="20"/>
        </w:rPr>
      </w:pPr>
      <w:r>
        <w:rPr>
          <w:rFonts w:ascii="Times New Roman" w:hAnsi="Times New Roman"/>
          <w:sz w:val="20"/>
        </w:rPr>
        <w:t xml:space="preserve">(B) adjudges the Company bankrupt or insolvent, or approves as properly filed a petition seeking reorganization, arrangement, adjustment or composition of or in respect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(C) appoints a Custodian of the Company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(D) orders the winding up or liquidation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and the continuance of any such decree or order for relief or any such other decree or order unstayed and in effect for a period of sixty (60) consecutive days; 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Five of the Base Indenture shall be amended by adding the following new clause (9) to Section 501 thereto, as set forth below: </w:t>
      </w:r>
    </w:p>
    <w:p>
      <w:pPr>
        <w:pStyle w:val="TextBody"/>
        <w:bidi w:val="0"/>
        <w:spacing w:before="120" w:after="0"/>
        <w:jc w:val="left"/>
        <w:rPr/>
      </w:pPr>
      <w:r>
        <w:rPr/>
        <w:t>“</w:t>
      </w:r>
      <w:r>
        <w:rPr>
          <w:rFonts w:ascii="Times New Roman" w:hAnsi="Times New Roman"/>
          <w:sz w:val="20"/>
        </w:rPr>
        <w:t xml:space="preserve">(9) default by the Company or any of its Significant Subsidiaries with respect to any mortgage, agreement or other instrument under which there may be outstanding, or by which there may be secured or evidenced, any indebtedness for money borrowed in excess of $50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3.04</w:t>
      </w:r>
      <w:r>
        <w:rPr>
          <w:rFonts w:ascii="Times New Roman" w:hAnsi="Times New Roman"/>
          <w:sz w:val="20"/>
        </w:rPr>
        <w:t xml:space="preserve"> 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Section 502 of the Base Indenture shall be amended by replacing the first paragraph thereof with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If an Event of Default (other than an Event of Default under Section 501(5) or Section 501(6)) with respect to the Notes at the time Outstanding occurs and is continuing, then and in every such case the Trustee or the Holders of not less than 25% in principal amount of the Outstanding Notes may (and the Trustee shall at the written request of such Holders) declare the principal of all the Notes to be due and payable immediately, by a notice in writing to the Company (and to the Trustee if given by the Holders), and upon any such declaration such principal or specified portion thereof shall become immediately due and payable, but does not entitle any Holder to any redemption payout or redemption premium. If an Event of Default under Section 501(5) or Section 501(6) occurs, the entire principal amount of all the Notes will automatically become due and immediately payable.”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w:t>
      </w:r>
      <w:r>
        <w:rPr>
          <w:rFonts w:ascii="Times New Roman" w:hAnsi="Times New Roman"/>
          <w:sz w:val="20"/>
        </w:rPr>
        <w:t xml:space="preserve"> 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Ten of the Base Indenture shall be amended by adding the following new Sections 1008, 1009, 1010 and 1011 thereto, each as set forth below: </w:t>
      </w:r>
    </w:p>
    <w:p>
      <w:pPr>
        <w:pStyle w:val="TextBody"/>
        <w:bidi w:val="0"/>
        <w:spacing w:before="120" w:after="0"/>
        <w:jc w:val="left"/>
        <w:rPr/>
      </w:pPr>
      <w:r>
        <w:rPr/>
        <w:t>“</w:t>
      </w:r>
      <w:r>
        <w:rPr>
          <w:rFonts w:ascii="Times New Roman" w:hAnsi="Times New Roman"/>
          <w:sz w:val="20"/>
        </w:rPr>
        <w:t xml:space="preserve">Section 1008. </w:t>
      </w:r>
      <w:r>
        <w:rPr>
          <w:rFonts w:ascii="Times New Roman" w:hAnsi="Times New Roman"/>
          <w:sz w:val="20"/>
          <w:u w:val="single"/>
        </w:rPr>
        <w:t>Section 18(a)(1)(A) of the Investment Company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hereby agrees that for the period of time during which the Notes are Outstanding, the Company will not violate Section 18(a)(1)(A) as modified by Section 61(a)(1) and (2) of the Investment Company Act or any successor provisions thereto, giving effect to Section 18(e) and other provisions of the Investment Company Act, whether or not the Company continues to be subject to such provisions of the Investment Company Act, but giving effect, in either case, to any exemptive relief granted to the Company by the Commission.” </w:t>
      </w:r>
    </w:p>
    <w:p>
      <w:pPr>
        <w:pStyle w:val="TextBody"/>
        <w:bidi w:val="0"/>
        <w:spacing w:before="120" w:after="0"/>
        <w:jc w:val="left"/>
        <w:rPr/>
      </w:pPr>
      <w:r>
        <w:rPr/>
        <w:t>“</w:t>
      </w:r>
      <w:r>
        <w:rPr>
          <w:rFonts w:ascii="Times New Roman" w:hAnsi="Times New Roman"/>
          <w:sz w:val="20"/>
        </w:rPr>
        <w:t xml:space="preserve">Section 1009. </w:t>
      </w:r>
      <w:r>
        <w:rPr>
          <w:rFonts w:ascii="Times New Roman" w:hAnsi="Times New Roman"/>
          <w:sz w:val="20"/>
          <w:u w:val="single"/>
        </w:rPr>
        <w:t>Section 18(a)(1)(B) of the Investment Company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hereby agrees that, for the period of time during which the Notes are Outstanding, the Company shall not declare any dividend (except a dividend payable in stock of the Company), or declare any other distribution, upon a class of the Company’s capital stock, or purchase any such capital stock, unless, in every such case, at the time of the declaration of any such dividend or distribution, or at the time of any such purchase, the Company has an asset coverage (as defined in the Investment Company Act) of at least the threshold specified in Section 18(a)(1)(B) as modified by Section 61(a)(2) of the Investment Company Act or any successor provisions thereto of the Investment Company Act, as such obligation may be amended or superseded, after deducting the amount of such dividend, distribution or purchase price, as the case may be, and giving effect,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case, (i) to any exemptive relief granted to the Company by the Commission and (ii) to any no-action relief granted by the Commission to another business development company (or to the Company if it determines to seek such similar no-action or other relief) permitting the business development company to declare any cash dividend or distribution notwithstanding the prohibition contained in Section 18(a)(1)(B) as modified by Section 61(a)(2) of the Investment Company Act, as such obligation may be amended or superseded, in order to maintain such business development company’s status as a regulated investment company under Subchapter M of the Internal Revenue Code of 1986, as amended. For the avoidance of doubt, notwithstanding Section 18(g) of the 1940 Act regarding the use of the term “senior security” in Section 18(a)(1)(B) of the 1940 Act, the Notes, and any and all other indebtedness of the Company, including any promissory note or other evidence of indebtedness issued in consideration of any loan, extension, or renewal thereof, made by a bank or other person and privately arranged, and not intended to be publicly distributed, and any such indebtedness attributable to the Company’s subsidiaries, shall be deemed a “senior security” of the Company. </w:t>
      </w:r>
    </w:p>
    <w:p>
      <w:pPr>
        <w:pStyle w:val="TextBody"/>
        <w:bidi w:val="0"/>
        <w:spacing w:before="120" w:after="0"/>
        <w:jc w:val="left"/>
        <w:rPr/>
      </w:pPr>
      <w:r>
        <w:rPr/>
        <w:t>“</w:t>
      </w:r>
      <w:r>
        <w:rPr>
          <w:rFonts w:ascii="Times New Roman" w:hAnsi="Times New Roman"/>
          <w:sz w:val="20"/>
        </w:rPr>
        <w:t xml:space="preserve">Section 1010. </w:t>
      </w:r>
      <w:r>
        <w:rPr>
          <w:rFonts w:ascii="Times New Roman" w:hAnsi="Times New Roman"/>
          <w:sz w:val="20"/>
          <w:u w:val="single"/>
        </w:rPr>
        <w:t>Commission Reports and Reports to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the Company is not subject to the reporting requirements of Sections 13 or 15(d) of the Exchange Act to file any periodic reports with the Commission, the Company agrees to furnish to the Holders of the Notes and the Trustee for the period of time during which the Notes are Outstanding: (i) within ninety (90) days after the end of each fiscal year of the Company, audited annual consolidated financial statements of the Company and (ii) within forty-five (45) days after the end of each fiscal quarter of the Company (other than the Company’s fourth fiscal quarter), unaudited interim consolidated financial statements of the Company. All such financial statements shall be prepared, in all material respects, in accordance with GAAP.” </w:t>
      </w:r>
    </w:p>
    <w:p>
      <w:pPr>
        <w:pStyle w:val="TextBody"/>
        <w:bidi w:val="0"/>
        <w:spacing w:before="120" w:after="0"/>
        <w:jc w:val="left"/>
        <w:rPr/>
      </w:pPr>
      <w:r>
        <w:rPr/>
        <w:t>“</w:t>
      </w:r>
      <w:r>
        <w:rPr>
          <w:rFonts w:ascii="Times New Roman" w:hAnsi="Times New Roman"/>
          <w:sz w:val="20"/>
        </w:rPr>
        <w:t xml:space="preserve">Section 1011. </w:t>
      </w:r>
      <w:r>
        <w:rPr>
          <w:rFonts w:ascii="Times New Roman" w:hAnsi="Times New Roman"/>
          <w:sz w:val="20"/>
          <w:u w:val="single"/>
        </w:rPr>
        <w:t>Rating of the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for the period of time during which the Notes are outstanding, use its commercially reasonable efforts to maintain a Notes rating from the Rating Agency at all times.”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Section 1103 of the Base Indenture shall be amended by replacing the first paragraph thereof with the following: </w:t>
      </w:r>
    </w:p>
    <w:p>
      <w:pPr>
        <w:pStyle w:val="TextBody"/>
        <w:bidi w:val="0"/>
        <w:spacing w:before="120" w:after="0"/>
        <w:jc w:val="left"/>
        <w:rPr/>
      </w:pPr>
      <w:r>
        <w:rPr/>
        <w:t>“</w:t>
      </w:r>
      <w:r>
        <w:rPr>
          <w:rFonts w:ascii="Times New Roman" w:hAnsi="Times New Roman"/>
          <w:sz w:val="20"/>
        </w:rPr>
        <w:t xml:space="preserve">If less than all the Securities of any series issued on the same day with the same terms are to be redeemed, the particular Securities to be redeemed shall be selected by the Trustee, or by the Depository in the case of global Securities, in compliance with the requirements of DTC, from the Outstanding Securities of such series issued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same terms not previously called for redemption, in compliance with the requirements of the principal national securities exchange on which the Securities are listed (if the Securities are listed on any national securities exchange), or if the Securities are not held through DTC or listed on any national securities exchange, or DTC prescribed no method of selection, by such method as the Trustee shall deem fair and appropriate and subject to and otherwise in accordance with the procedures of the applicable Depository; provided that such method complies with the rules of any national securities exchange or quotation system on which the Securities are listed,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Times New Roman" w:hAnsi="Times New Roman"/>
          <w:i/>
          <w:sz w:val="20"/>
        </w:rPr>
        <w:t>provided, however</w:t>
      </w:r>
      <w:r>
        <w:rPr>
          <w:rFonts w:ascii="Times New Roman" w:hAnsi="Times New Roman"/>
          <w:sz w:val="20"/>
        </w:rPr>
        <w:t xml:space="preserve">, that no such partial redemption shall reduce the portion of the principal amount of a Security not redeemed to less than the minimum authorized denomination for Securities of such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MEETINGS OF HOLDERS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1505 of the Base Indenture shall be amended by replacing clause (c) thereof with the following: </w:t>
      </w:r>
    </w:p>
    <w:p>
      <w:pPr>
        <w:pStyle w:val="TextBody"/>
        <w:bidi w:val="0"/>
        <w:spacing w:before="120" w:after="0"/>
        <w:jc w:val="left"/>
        <w:rPr/>
      </w:pPr>
      <w:r>
        <w:rPr/>
        <w:t>“</w:t>
      </w:r>
      <w:r>
        <w:rPr>
          <w:rFonts w:ascii="Times New Roman" w:hAnsi="Times New Roman"/>
          <w:sz w:val="20"/>
        </w:rPr>
        <w:t xml:space="preserve">(c) At any meeting of Holders, each Holder of a Security of such series or proxy shall be entitled to one vote for each $1,000 principal amount of the Outstanding Securities of such series held or represented by such Holder; </w:t>
      </w:r>
      <w:r>
        <w:rPr>
          <w:rFonts w:ascii="Times New Roman" w:hAnsi="Times New Roman"/>
          <w:i/>
          <w:sz w:val="20"/>
        </w:rPr>
        <w:t>provided, however</w:t>
      </w:r>
      <w:r>
        <w:rPr>
          <w:rFonts w:ascii="Times New Roman" w:hAnsi="Times New Roman"/>
          <w:sz w:val="20"/>
        </w:rPr>
        <w:t xml:space="preserve">,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PAYMENT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1001 of the Base Indenture shall be amended by adding the following at the end of such Section: </w:t>
      </w:r>
    </w:p>
    <w:p>
      <w:pPr>
        <w:pStyle w:val="TextBody"/>
        <w:bidi w:val="0"/>
        <w:spacing w:before="120" w:after="0"/>
        <w:jc w:val="left"/>
        <w:rPr/>
      </w:pPr>
      <w:r>
        <w:rPr/>
        <w:t>“</w:t>
      </w:r>
      <w:r>
        <w:rPr>
          <w:rFonts w:ascii="Times New Roman" w:hAnsi="Times New Roman"/>
          <w:sz w:val="20"/>
        </w:rPr>
        <w:t xml:space="preserve">Alternatively, at the request of the registered Holder, the Company will pay the principal of (and premium, if any, on) and interest, if any, on the Notes by wire transfer of immediately available funds to an account at a bank in New York City, on the date when such amount is due and payable. To request payment by wire transfer, the registered Holder must give the Paying Agent appropriate transfer instructions at least 15 Business Days before the requested payment is due. In the case of any interest payment due on an Interest Payment Date, the instructions must be given by the person who is the registered Holder on the relevant Regular Record Date. Any wire instructions, once properly given, will remain in effect unless and until new instructions are given in accordance with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This Sixth Supplemental Indenture and the Notes shall be governed by and construed in accordance with the law of the State of New York without regard to principles of conflicts of laws. This Sixth Supplemental Indenture is subject to the provisions of the Trust Indenture Act that are required to be part of the Indenture and shall, to the extent applicable, be governed by such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In case any provision in this Sixth Supplemental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8.03</w:t>
      </w:r>
      <w:r>
        <w:rPr>
          <w:rFonts w:ascii="Times New Roman" w:hAnsi="Times New Roman"/>
          <w:sz w:val="20"/>
        </w:rPr>
        <w:t xml:space="preserve"> This Sixth Supplemental Indenture may be executed in any number of counterparts, each of which so executed shall be deemed to be an original, but all such counterparts shall together constitute but one and the same Sixth Supplemental Indenture. The exchange of copies of this Sixth Supplemental Indenture and of signature pages by facsimile, .pdf transmission, email or other electronic means shall constitute effective execution and delivery of this Sixth Supplemental Indenture for all purposes. Signatures of the parties hereto transmitted by facsimile, .pdf transmission, email or other electronic means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8.04</w:t>
      </w:r>
      <w:r>
        <w:rPr>
          <w:rFonts w:ascii="Times New Roman" w:hAnsi="Times New Roman"/>
          <w:sz w:val="20"/>
        </w:rPr>
        <w:t xml:space="preserve"> The Base Indenture, as supplemented and amended by this Sixth Supplemental Indenture, is in all respects ratified and confirmed, and the Base Indenture and this Sixth Supplemental Indenture shall be read, taken and construed as one and the same instrument with respect to the Notes. All provisions included in this Sixth Supplemental Indenture supersede any conflicting provisions included in the Base Indenture with respect to the Notes, unless not permitted by law. The Trustee accepts the trusts created by the Base Indenture, as supplemented by this Sixth Supplemental Indenture, and agrees to perform the same upon the terms and conditions of the Base Indenture, as supplemented by this Sixth Supplemental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8.05</w:t>
      </w:r>
      <w:r>
        <w:rPr>
          <w:rFonts w:ascii="Times New Roman" w:hAnsi="Times New Roman"/>
          <w:sz w:val="20"/>
        </w:rPr>
        <w:t xml:space="preserve"> The provisions of this Sixth Supplemental Indenture shall become effective as of the date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8.06</w:t>
      </w:r>
      <w:r>
        <w:rPr>
          <w:rFonts w:ascii="Times New Roman" w:hAnsi="Times New Roman"/>
          <w:sz w:val="20"/>
        </w:rPr>
        <w:t xml:space="preserve"> Notwithstanding anything else to the contrary herein, the terms and provisions of this Sixth Supplemental Indenture shall apply only to the Notes and shall not apply to any other series of Securities under the Base Indenture (as supplemented or amended from time to time by one or more indentures supplemental thereto), and this Sixth Supplemental Indenture shall not and does not otherwise affect, modify, alter, supplement or change the terms and provisions of any other series of Securities under the Base Indenture (as supplemented or amended from time to time by one or more indentures supplemental thereto), whether now or hereafter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8.07</w:t>
      </w:r>
      <w:r>
        <w:rPr>
          <w:rFonts w:ascii="Times New Roman" w:hAnsi="Times New Roman"/>
          <w:sz w:val="20"/>
        </w:rPr>
        <w:t xml:space="preserve"> For the avoidance of doubt, all notices, approvals, consents, requests and any communications hereunder or with respect to the Notes must be in writing, in English. The Trustee shall have the right to accept and act upon any such communication received by electronic transmission (including by e-mail, facsimile transmission, web portal or other electronic methods) and shall not have any duty to confirm that the person sending such communication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identified by any other party hereto and acceptable to the Trustee) shall be deemed original signatures for all purposes. The Company agrees to assume all risks arising out of the use of electronic signatures and electronic methods to submit communications to the Trustee, including without limitation the risk of the Trustee acting on unauthorized instructions, and the risk of interception and misuse by third parties. Notwithstanding the foregoing, the Trustee may in any instance and in its sole discretion require that a communication in the form of an original document bearing a manual signature be delivered to the Trustee in lieu of, or in addition to, any such electronic communication.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8.08</w:t>
      </w:r>
      <w:r>
        <w:rPr>
          <w:rFonts w:ascii="Times New Roman" w:hAnsi="Times New Roman"/>
          <w:sz w:val="20"/>
        </w:rPr>
        <w:t xml:space="preserve"> The recitals contained herein and in the Notes, except the Trustee’s certificate of authentication, shall be taken as the statements of the Company, and the Trustee assumes no responsibility for their correctness. The Trustee makes no representations as to the validity or sufficiency of this Sixth Supplemental Indenture, the Notes or any Additional Notes, except that the Trustee represents that it is duly authorized to execute and deliver this Sixth Supplemental Indenture, authenticate the Notes and any Additional Notes and perform its obligations hereunder. The Trustee shall not be accountable for the use or application by the Company of the Notes or any Additional Notes or the proceeds thereof. In acting hereunder and with respect to the Notes, the rights, privileges, protections, immunities and benefits afforded to the Trustee under the Base Indenture, including, without limitation, its right to be indemnified, are deemed to be incorporated herein, and shall be enforceable by the Trustee hereunder, in each of its capacities hereunder as if set forth herein in full. This Sixth Supplemental Indenture may be executed in any number of counterparts (including by facsimile or other electronic means), each of which so executed shall be deemed to be an original, but all such counterparts shall together constitute but one and the same instrument. Counterparts may be executed and delivered via facsimile, email or other transmission method and may be executed by electronic signature (including, without limitation, any .pdf file, .jpeg file, or any other electronic or image file, or any “electronic signature” as defined under the U.S. Electronic Signatures in Global and National Commerce Act or the New York Electronic Signatures and Records Act, which includes any electronic signature provided using Orbit, Adobe Fill &amp; Sign, Adobe Sign, DocuSign, or any other similar platform identified by the Company and reasonably available at no undue burden or expense to the Trustee) and any counterpart so delivered shall be valid, effective and legally binding as if such electronic signatures were handwritten signatures and shall be deemed to have been duly and validly delivered for all purposes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Sixth Supplemental Indenture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BCP INVESTMENT CORPORATION</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9" w:type="dxa"/>
            <w:tcBorders>
              <w:bottom w:val="single" w:sz="2" w:space="0" w:color="000000"/>
            </w:tcBorders>
            <w:tcMar>
              <w:bottom w:w="28" w:type="dxa"/>
            </w:tcMar>
          </w:tcPr>
          <w:p>
            <w:pPr>
              <w:pStyle w:val="TableContents"/>
              <w:bidi w:val="0"/>
              <w:spacing w:before="0" w:after="283"/>
              <w:jc w:val="left"/>
              <w:rPr/>
            </w:pPr>
            <w:r>
              <w:rPr/>
              <w:t>/s/ Brandon Satoren</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pPr>
            <w:r>
              <w:rPr/>
              <w:t>Brandon Satoren</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pPr>
            <w:r>
              <w:rPr/>
              <w:t>Chief Financial Officer, Secretary and Treasurer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8" w:type="dxa"/>
            <w:tcBorders>
              <w:bottom w:val="single" w:sz="2" w:space="0" w:color="000000"/>
            </w:tcBorders>
            <w:tcMar>
              <w:bottom w:w="28" w:type="dxa"/>
            </w:tcMar>
          </w:tcPr>
          <w:p>
            <w:pPr>
              <w:pStyle w:val="TableContents"/>
              <w:bidi w:val="0"/>
              <w:spacing w:before="0" w:after="283"/>
              <w:jc w:val="left"/>
              <w:rPr/>
            </w:pPr>
            <w:r>
              <w:rPr/>
              <w:t>/s/ Steven J. Gomes</w:t>
            </w:r>
          </w:p>
        </w:tc>
      </w:tr>
      <w:tr>
        <w:trPr/>
        <w:tc>
          <w:tcPr>
            <w:tcW w:w="69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vAlign w:val="bottom"/>
          </w:tcPr>
          <w:p>
            <w:pPr>
              <w:pStyle w:val="TableContents"/>
              <w:bidi w:val="0"/>
              <w:spacing w:before="0" w:after="283"/>
              <w:jc w:val="left"/>
              <w:rPr/>
            </w:pPr>
            <w:r>
              <w:rPr/>
              <w:t>Steven J. Gomes</w:t>
            </w:r>
          </w:p>
        </w:tc>
      </w:tr>
      <w:tr>
        <w:trPr/>
        <w:tc>
          <w:tcPr>
            <w:tcW w:w="69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Sixth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 Form of Global Note </w:t>
      </w:r>
    </w:p>
    <w:p>
      <w:pPr>
        <w:pStyle w:val="TextBody"/>
        <w:bidi w:val="0"/>
        <w:spacing w:before="240" w:after="0"/>
        <w:jc w:val="left"/>
        <w:rPr>
          <w:rFonts w:ascii="Times New Roman" w:hAnsi="Times New Roman"/>
          <w:b/>
          <w:sz w:val="20"/>
        </w:rPr>
      </w:pPr>
      <w:r>
        <w:rPr>
          <w:rFonts w:ascii="Times New Roman" w:hAnsi="Times New Roman"/>
          <w:b/>
          <w:sz w:val="20"/>
        </w:rPr>
        <w:t xml:space="preserve">THIS SECURITY IS A GLOBAL SECURITY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UNLESS THIS CERTIFICATE IS PRESENTED BY AN AUTHORIZED REPRESENTATIVE OF THE DEPOSITORY TRUST COMPANY TO THE COMPANY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 </w:t>
      </w:r>
    </w:p>
    <w:p>
      <w:pPr>
        <w:pStyle w:val="TextBody"/>
        <w:bidi w:val="0"/>
        <w:spacing w:before="240" w:after="0"/>
        <w:jc w:val="right"/>
        <w:rPr>
          <w:rFonts w:ascii="Times New Roman" w:hAnsi="Times New Roman"/>
          <w:b/>
          <w:sz w:val="20"/>
        </w:rPr>
      </w:pPr>
      <w:r>
        <w:rPr>
          <w:rFonts w:ascii="Times New Roman" w:hAnsi="Times New Roman"/>
          <w:b/>
          <w:sz w:val="20"/>
        </w:rPr>
        <w:t xml:space="preserve">BCP Investment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6"/>
        <w:gridCol w:w="4865"/>
      </w:tblGrid>
      <w:tr>
        <w:trPr/>
        <w:tc>
          <w:tcPr>
            <w:tcW w:w="521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No.</w:t>
            </w:r>
          </w:p>
        </w:tc>
        <w:tc>
          <w:tcPr>
            <w:tcW w:w="126"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right"/>
              <w:rPr/>
            </w:pPr>
            <w:r>
              <w:rPr/>
              <w:t>$</w:t>
            </w:r>
          </w:p>
        </w:tc>
      </w:tr>
    </w:tbl>
    <w:p>
      <w:pPr>
        <w:pStyle w:val="TextBody"/>
        <w:bidi w:val="0"/>
        <w:spacing w:before="0" w:after="0"/>
        <w:jc w:val="right"/>
        <w:rPr>
          <w:rFonts w:ascii="Times New Roman" w:hAnsi="Times New Roman"/>
          <w:sz w:val="20"/>
        </w:rPr>
      </w:pPr>
      <w:r>
        <w:rPr>
          <w:rFonts w:ascii="Times New Roman" w:hAnsi="Times New Roman"/>
          <w:sz w:val="20"/>
        </w:rPr>
        <w:t xml:space="preserve">CUSIP No. 73688F AF9 </w:t>
      </w:r>
    </w:p>
    <w:p>
      <w:pPr>
        <w:pStyle w:val="TextBody"/>
        <w:bidi w:val="0"/>
        <w:spacing w:before="0" w:after="0"/>
        <w:jc w:val="right"/>
        <w:rPr>
          <w:rFonts w:ascii="Times New Roman" w:hAnsi="Times New Roman"/>
          <w:sz w:val="20"/>
        </w:rPr>
      </w:pPr>
      <w:r>
        <w:rPr>
          <w:rFonts w:ascii="Times New Roman" w:hAnsi="Times New Roman"/>
          <w:sz w:val="20"/>
        </w:rPr>
        <w:t xml:space="preserve">ISIN No. US73688FAF99 </w:t>
      </w:r>
    </w:p>
    <w:p>
      <w:pPr>
        <w:pStyle w:val="TextBody"/>
        <w:bidi w:val="0"/>
        <w:spacing w:before="240" w:after="0"/>
        <w:jc w:val="center"/>
        <w:rPr>
          <w:rFonts w:ascii="Times New Roman" w:hAnsi="Times New Roman"/>
          <w:sz w:val="20"/>
        </w:rPr>
      </w:pPr>
      <w:r>
        <w:rPr>
          <w:rFonts w:ascii="Times New Roman" w:hAnsi="Times New Roman"/>
          <w:sz w:val="20"/>
        </w:rPr>
        <w:t xml:space="preserve">7.50% Notes due 2029 </w:t>
      </w:r>
    </w:p>
    <w:p>
      <w:pPr>
        <w:pStyle w:val="TextBody"/>
        <w:bidi w:val="0"/>
        <w:spacing w:before="240" w:after="0"/>
        <w:jc w:val="left"/>
        <w:rPr>
          <w:rFonts w:ascii="Times New Roman" w:hAnsi="Times New Roman"/>
          <w:sz w:val="20"/>
        </w:rPr>
      </w:pPr>
      <w:r>
        <w:rPr>
          <w:rFonts w:ascii="Times New Roman" w:hAnsi="Times New Roman"/>
          <w:sz w:val="20"/>
        </w:rPr>
        <w:t xml:space="preserve">BCP Investment Corporation, a corporation duly organized and existing under the laws of Delaware (herein called the “Company,” which term includes any successor Person under the Indenture hereinafter referred to), for value received, hereby promises to pay to Cede &amp; Co., or registered assigns, the principal sum of (U.S. $ ) on September 24, 2029, and to pay interest thereon from March 24, 2026 or from the most recent Interest Payment Date to which interest has been paid or duly provided for, semi-annually on April 30 and October 30 in each year, commencing April 30, 2026, at the rate of 7.50% per annum, until the principal hereof is paid or made available for payment. The interest so payable, and punctually paid or duly provided for, on any Interest Payment Date shall, as provided in such Indenture, be paid to the Person in whose name this Security is registered at the close of business on the Regular Record Date for such interest, which shall be April 15 and October 15 (whether or not a Business Day), as the case may be, next preceding such Interest Payment Date. Any such interest not so punctually paid or duly provided for shall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the principal of (and premium, if any, on) and any such interest on this Security shall be made upon presentment of this Security at the office of the Trustee located at 60 Livingston Avenue, St. Paul, MN 55107, Attention: BCP Investment Corporation (7.50% Notes Due 2029) or at such other address as designated by the Trustee,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option of the Company payment of interest may be made by check mailed to the address of the Person entitled thereto as such address shall appear in the Security Register; </w:t>
      </w:r>
      <w:r>
        <w:rPr>
          <w:rFonts w:ascii="Times New Roman" w:hAnsi="Times New Roman"/>
          <w:i/>
          <w:sz w:val="20"/>
        </w:rPr>
        <w:t>provided, further, however</w:t>
      </w:r>
      <w:r>
        <w:rPr>
          <w:rFonts w:ascii="Times New Roman" w:hAnsi="Times New Roman"/>
          <w:sz w:val="20"/>
        </w:rPr>
        <w:t xml:space="preserve">, that, at the request of the registered Holder, the Company will pay the principal of (and premium, if any, on) and interest, if any, on the Securities by wire transfer of immediately available funds to an account at a bank in New York City, on the date when such amount is due and payable and as further set forth in Section 1001 of the Indenture; </w:t>
      </w:r>
      <w:r>
        <w:rPr>
          <w:rFonts w:ascii="Times New Roman" w:hAnsi="Times New Roman"/>
          <w:i/>
          <w:sz w:val="20"/>
        </w:rPr>
        <w:t>provided further, however</w:t>
      </w:r>
      <w:r>
        <w:rPr>
          <w:rFonts w:ascii="Times New Roman" w:hAnsi="Times New Roman"/>
          <w:sz w:val="20"/>
        </w:rPr>
        <w:t xml:space="preserve">, that so long as this Security is registered to Cede &amp; Co., such payment shall be made by wire transfer in accordance with the procedures established by The Depository Trust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this Security shall not be entitled to any benefit under the Indenture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112"/>
        <w:gridCol w:w="3345"/>
      </w:tblGrid>
      <w:tr>
        <w:trPr/>
        <w:tc>
          <w:tcPr>
            <w:tcW w:w="62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BCP INVESTMENT CORPORATION</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3345" w:type="dxa"/>
            <w:tcBorders>
              <w:bottom w:val="single" w:sz="2" w:space="0" w:color="000000"/>
            </w:tcBorders>
            <w:tcMar>
              <w:bottom w:w="28" w:type="dxa"/>
            </w:tcMar>
          </w:tcPr>
          <w:p>
            <w:pPr>
              <w:pStyle w:val="TableContents"/>
              <w:bidi w:val="0"/>
              <w:spacing w:before="0" w:after="283"/>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vAlign w:val="bottom"/>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Attest</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9"/>
        <w:gridCol w:w="107"/>
        <w:gridCol w:w="3376"/>
      </w:tblGrid>
      <w:tr>
        <w:trPr/>
        <w:tc>
          <w:tcPr>
            <w:tcW w:w="59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599" w:type="dxa"/>
            <w:tcBorders/>
            <w:vAlign w:val="center"/>
          </w:tcPr>
          <w:p>
            <w:pPr>
              <w:pStyle w:val="TableContents"/>
              <w:bidi w:val="0"/>
              <w:spacing w:before="0" w:after="283"/>
              <w:jc w:val="left"/>
              <w:rPr>
                <w:sz w:val="4"/>
                <w:szCs w:val="4"/>
              </w:rPr>
            </w:pPr>
            <w:r>
              <w:rPr>
                <w:sz w:val="4"/>
                <w:szCs w:val="4"/>
              </w:rPr>
            </w:r>
          </w:p>
        </w:tc>
        <w:tc>
          <w:tcPr>
            <w:tcW w:w="3483" w:type="dxa"/>
            <w:gridSpan w:val="2"/>
            <w:tcBorders/>
            <w:vAlign w:val="center"/>
          </w:tcPr>
          <w:p>
            <w:pPr>
              <w:pStyle w:val="TableContents"/>
              <w:bidi w:val="0"/>
              <w:spacing w:before="0" w:after="283"/>
              <w:jc w:val="left"/>
              <w:rPr>
                <w:sz w:val="4"/>
                <w:szCs w:val="4"/>
              </w:rPr>
            </w:pPr>
            <w:r>
              <w:rPr>
                <w:sz w:val="4"/>
                <w:szCs w:val="4"/>
              </w:rPr>
            </w:r>
          </w:p>
        </w:tc>
      </w:tr>
      <w:tr>
        <w:trPr/>
        <w:tc>
          <w:tcPr>
            <w:tcW w:w="599" w:type="dxa"/>
            <w:tcBorders/>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376" w:type="dxa"/>
            <w:tcBorders>
              <w:bottom w:val="single" w:sz="2" w:space="0" w:color="000000"/>
            </w:tcBorders>
            <w:tcMar>
              <w:bottom w:w="28" w:type="dxa"/>
            </w:tcMar>
          </w:tcPr>
          <w:p>
            <w:pPr>
              <w:pStyle w:val="TableContents"/>
              <w:bidi w:val="0"/>
              <w:spacing w:before="0" w:after="283"/>
              <w:jc w:val="left"/>
              <w:rPr/>
            </w:pPr>
            <w:r>
              <w:rPr/>
              <w:t> </w:t>
            </w:r>
          </w:p>
        </w:tc>
      </w:tr>
      <w:tr>
        <w:trPr/>
        <w:tc>
          <w:tcPr>
            <w:tcW w:w="59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76" w:type="dxa"/>
            <w:tcBorders/>
            <w:vAlign w:val="bottom"/>
          </w:tcPr>
          <w:p>
            <w:pPr>
              <w:pStyle w:val="TableContents"/>
              <w:bidi w:val="0"/>
              <w:spacing w:before="0" w:after="283"/>
              <w:jc w:val="left"/>
              <w:rPr/>
            </w:pPr>
            <w:r>
              <w:rPr/>
              <w:t>Name:</w:t>
            </w:r>
          </w:p>
        </w:tc>
      </w:tr>
      <w:tr>
        <w:trPr/>
        <w:tc>
          <w:tcPr>
            <w:tcW w:w="59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76"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BCP Investment Corporation </w:t>
      </w:r>
    </w:p>
    <w:p>
      <w:pPr>
        <w:pStyle w:val="TextBody"/>
        <w:bidi w:val="0"/>
        <w:spacing w:before="0" w:after="0"/>
        <w:jc w:val="center"/>
        <w:rPr>
          <w:rFonts w:ascii="Times New Roman" w:hAnsi="Times New Roman"/>
          <w:sz w:val="20"/>
        </w:rPr>
      </w:pPr>
      <w:r>
        <w:rPr>
          <w:rFonts w:ascii="Times New Roman" w:hAnsi="Times New Roman"/>
          <w:sz w:val="20"/>
        </w:rPr>
        <w:t xml:space="preserve">7.50% Notes due 2029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a duly authorized issue of Senior Securities of the Company (herein called the “Securities”), issued and to be issued in one or more series under an Indenture, dated as of October 10, 2012 (herein called the “Base Indenture”), between the Company and U.S. Bank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Sixth Supplemental Indenture, dated as of March 24, 2026, by and between the Company and the Trustee (herein called the “Sixth Supplemental Indenture,” the Sixth Supplemental Indenture and the Base Indenture collectively are herein called the “Indenture”). In the event of any conflict between the Base Indenture and the Sixth Supplemental Indenture, the Sixth Supplemental Indenture shall govern and control.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the series designated on the face hereof, which series is initially limited in aggregate principal amount to $50,000,000.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and other terms as the Securities; </w:t>
      </w:r>
      <w:r>
        <w:rPr>
          <w:rFonts w:ascii="Times New Roman" w:hAnsi="Times New Roman"/>
          <w:i/>
          <w:sz w:val="20"/>
        </w:rPr>
        <w:t>provided</w:t>
      </w:r>
      <w:r>
        <w:rPr>
          <w:rFonts w:ascii="Times New Roman" w:hAnsi="Times New Roman"/>
          <w:sz w:val="20"/>
        </w:rPr>
        <w:t xml:space="preserve"> that, if such Additional Securities are not fungible with the Securities (or any other tranche of Additional Securities for U.S. federal income tax purposes, then such Additional Securities will have a different CUSIP numbers from the Securities (and any such other tranche of Additional Securities).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subject to redemption in whole or in part at any time or from time to time, at the option of the Company, at a Redemption Price (calculated by the Company and reported to the Trustee) per Security equal to the greater of the following amounts, plus, in each case, accrued and unpaid interest to, but excluding,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(a) 100% of the principal amount of the Notes to be redeemed, or </w:t>
      </w:r>
    </w:p>
    <w:p>
      <w:pPr>
        <w:pStyle w:val="TextBody"/>
        <w:bidi w:val="0"/>
        <w:spacing w:before="120" w:after="0"/>
        <w:jc w:val="left"/>
        <w:rPr>
          <w:rFonts w:ascii="Times New Roman" w:hAnsi="Times New Roman"/>
          <w:sz w:val="20"/>
        </w:rPr>
      </w:pPr>
      <w:r>
        <w:rPr>
          <w:rFonts w:ascii="Times New Roman" w:hAnsi="Times New Roman"/>
          <w:sz w:val="20"/>
        </w:rPr>
        <w:t xml:space="preserve">(b) the sum of the present value of the remaining scheduled payments of principal and interest (exclusive of accrued and unpaid interest to the Redemption Date) on the Notes to be redeemed, discounted to the Redemption Date on a semi-annual basis (assuming a 360-day year consisting of twelve 30-day months) using the applicable Treasury Rate plus 50 basis points;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if the Company redeems any Securities on or after April 24, 2029, the Redemption Price for the Securities will be equal to 100% of the principal amount of the Securities to be redeemed, plus accrued and unpaid interest, if any, to, but excluding,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calculating the Redemption Price in connection with the redemption of the Securities, on any Redemption Date, the following terms have the meanings set forth below: </w:t>
      </w:r>
    </w:p>
    <w:p>
      <w:pPr>
        <w:pStyle w:val="TextBody"/>
        <w:bidi w:val="0"/>
        <w:spacing w:before="120" w:after="0"/>
        <w:jc w:val="left"/>
        <w:rPr/>
      </w:pPr>
      <w:r>
        <w:rPr/>
        <w:t>“</w:t>
      </w:r>
      <w:r>
        <w:rPr>
          <w:rFonts w:ascii="Times New Roman" w:hAnsi="Times New Roman"/>
          <w:sz w:val="20"/>
          <w:u w:val="single"/>
        </w:rPr>
        <w:t>Comparable Treasury Issue</w:t>
      </w:r>
      <w:r>
        <w:rPr>
          <w:rFonts w:ascii="Times New Roman" w:hAnsi="Times New Roman"/>
          <w:sz w:val="20"/>
        </w:rPr>
        <w:t xml:space="preserve">” means the United States Treasury security selected by the Reference Treasury Dealer as having a maturity comparable to the remaining term of the Securities to be redeemed that would be utilized, at the time of selection and in accordance with customary financing practice, in pricing new issues of corporate debt securities of comparable maturity to the remaining term of the Securities being redeemed. </w:t>
      </w:r>
    </w:p>
    <w:p>
      <w:pPr>
        <w:pStyle w:val="TextBody"/>
        <w:bidi w:val="0"/>
        <w:spacing w:before="240" w:after="0"/>
        <w:jc w:val="left"/>
        <w:rPr/>
      </w:pPr>
      <w:r>
        <w:rPr/>
        <w:t>“</w:t>
      </w:r>
      <w:r>
        <w:rPr>
          <w:rFonts w:ascii="Times New Roman" w:hAnsi="Times New Roman"/>
          <w:sz w:val="20"/>
          <w:u w:val="single"/>
        </w:rPr>
        <w:t>Comparable Treasury Price</w:t>
      </w:r>
      <w:r>
        <w:rPr>
          <w:rFonts w:ascii="Times New Roman" w:hAnsi="Times New Roman"/>
          <w:sz w:val="20"/>
        </w:rPr>
        <w:t xml:space="preserve">” means (1) the average of the Reference Treasury Dealer Quotations for the Redemption Date, after excluding the highest and lowest Reference Treasury Dealer Quotations, or (2) if the Quotation Agent obtains fewer than four such Reference Treasury Dealer Quotations, the average of all such quotations. </w:t>
      </w:r>
    </w:p>
    <w:p>
      <w:pPr>
        <w:pStyle w:val="TextBody"/>
        <w:bidi w:val="0"/>
        <w:spacing w:before="240" w:after="0"/>
        <w:jc w:val="left"/>
        <w:rPr/>
      </w:pPr>
      <w:r>
        <w:rPr/>
        <w:t>“</w:t>
      </w:r>
      <w:r>
        <w:rPr>
          <w:rFonts w:ascii="Times New Roman" w:hAnsi="Times New Roman"/>
          <w:sz w:val="20"/>
          <w:u w:val="single"/>
        </w:rPr>
        <w:t>Quotation Agent</w:t>
      </w:r>
      <w:r>
        <w:rPr>
          <w:rFonts w:ascii="Times New Roman" w:hAnsi="Times New Roman"/>
          <w:sz w:val="20"/>
        </w:rPr>
        <w:t xml:space="preserve">” means a Reference Treasury Dealer selected by the Company. </w:t>
      </w:r>
    </w:p>
    <w:p>
      <w:pPr>
        <w:pStyle w:val="TextBody"/>
        <w:bidi w:val="0"/>
        <w:spacing w:before="240" w:after="0"/>
        <w:jc w:val="left"/>
        <w:rPr/>
      </w:pPr>
      <w:r>
        <w:rPr/>
        <w:t>“</w:t>
      </w:r>
      <w:r>
        <w:rPr>
          <w:rFonts w:ascii="Times New Roman" w:hAnsi="Times New Roman"/>
          <w:sz w:val="20"/>
          <w:u w:val="single"/>
        </w:rPr>
        <w:t>Reference Treasury Dealer</w:t>
      </w:r>
      <w:r>
        <w:rPr>
          <w:rFonts w:ascii="Times New Roman" w:hAnsi="Times New Roman"/>
          <w:sz w:val="20"/>
        </w:rPr>
        <w:t xml:space="preserve">” means each of any four primary U.S. government securities dealers selected by the Company. </w:t>
      </w:r>
    </w:p>
    <w:p>
      <w:pPr>
        <w:pStyle w:val="TextBody"/>
        <w:bidi w:val="0"/>
        <w:spacing w:before="240" w:after="0"/>
        <w:jc w:val="left"/>
        <w:rPr/>
      </w:pPr>
      <w:r>
        <w:rPr/>
        <w:t>“</w:t>
      </w:r>
      <w:r>
        <w:rPr>
          <w:rFonts w:ascii="Times New Roman" w:hAnsi="Times New Roman"/>
          <w:sz w:val="20"/>
          <w:u w:val="single"/>
        </w:rPr>
        <w:t>Reference Treasury Dealer Quotations</w:t>
      </w:r>
      <w:r>
        <w:rPr>
          <w:rFonts w:ascii="Times New Roman" w:hAnsi="Times New Roman"/>
          <w:sz w:val="20"/>
        </w:rPr>
        <w:t xml:space="preserve">”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 All determinations made by any Reference Treasury Dealer, including the Quotation Agent, with respect to determining the Redemption Price will be final and binding absent manifest error. </w:t>
      </w:r>
    </w:p>
    <w:p>
      <w:pPr>
        <w:pStyle w:val="TextBody"/>
        <w:bidi w:val="0"/>
        <w:spacing w:before="240" w:after="0"/>
        <w:jc w:val="left"/>
        <w:rPr/>
      </w:pPr>
      <w:r>
        <w:rPr/>
        <w:t>“</w:t>
      </w:r>
      <w:r>
        <w:rPr>
          <w:rFonts w:ascii="Times New Roman" w:hAnsi="Times New Roman"/>
          <w:sz w:val="20"/>
          <w:u w:val="single"/>
        </w:rPr>
        <w:t>Treasury Rate</w:t>
      </w:r>
      <w:r>
        <w:rPr>
          <w:rFonts w:ascii="Times New Roman" w:hAnsi="Times New Roman"/>
          <w:sz w:val="20"/>
        </w:rPr>
        <w:t xml:space="preserv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shall be given in writing and mailed, first-class postage prepaid or by overnight courier guaranteeing next-day delivery, to each Holder of the Securities to be redeemed, not less than thirty (30) nor more than sixty (60) days prior to the Redemption Date, at the Holder’s address appearing in the Security Register; provided however that so long as the Notes are registered to Cede &amp; Co., such notice shall be given in accordance with the procedures established by the Depository Trust Company and the Trustee. All notices of redemption shall contain the information set forth in Section 1104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Any exercise of the Company’s option to redeem the Securities shall be done in compliance with the Indenture and the Investment Company Act, to the extent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Company elects to redeem only a portion of the Securities, the Trustee or, with respect to global Securities, the Depository will determine the method for selecting the particular Securities to be redeemed, in accordance with Section 1.01 of the Sixth Supplemental Indenture and Section 1103 of the Indenture. In the event of redemption of this Security in part only, a new Security or Securities of this series and of like tenor for the unredeemed portion hereof will be issued in the name of the Holder hereof upon the cancellation hereof.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shall cease to accrue on the Securities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the entire indebtedness of this Security or certain restrictive covenants and Events of Default with respect to this Security, in each case upon compliance with certain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this series shall occur and be continuing (other than Events of Default under Section 501(5) or Section 501(6) of the Indenture), the principal of the Securities of this series may be declared due and payable in the manner and with the effect provided in the Indenture. If an Event of Default under Section 501(5) or Section 501(6) of the Indenture occurs the entire principal amount of the Securities of this series will automatically become due and immediately payable.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security, or both, reasonably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sixty (60) 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issuable only in registered form without coupons in minimum denominations of $1,000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of Securities, but the Company, the Trustee, or the Security Registrar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Security for registration of transfer, the Company, the Trustee, or the Security Registrar and any agent of the Company, the Trustee, or the Security Registrar shall treat the Person in whose name this Security is registered as the owner hereof for all purposes, whether or not this Security be overdue, and none of the Company, the Trustee, the Security Registrar, or any agent thereof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All terms used in this Security which are defined in the Indenture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provision of this Security conflicts with the express provisions of the Indenture, the provisions of the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this Security shall be governed by and construed in accordance with the law of the State of New York without regard to principles of conflicts of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p>
    <w:p>
      <w:pPr>
        <w:pStyle w:val="TextBody"/>
        <w:bidi w:val="0"/>
        <w:spacing w:before="0" w:after="0"/>
        <w:jc w:val="right"/>
        <w:rPr>
          <w:rFonts w:ascii="Times New Roman" w:hAnsi="Times New Roman"/>
          <w:b/>
          <w:sz w:val="20"/>
        </w:rPr>
      </w:pPr>
      <w:bookmarkStart w:id="4" w:name="d114630dex51.htm"/>
      <w:bookmarkStart w:id="5" w:name="ksd114630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drawing>
                <wp:inline distT="0" distB="0" distL="0" distR="0">
                  <wp:extent cx="8477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47725" cy="77152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1900 K Street, NW </w:t>
              <w:br/>
              <w:t>Washington, DC 20006-1110</w:t>
            </w:r>
          </w:p>
          <w:p>
            <w:pPr>
              <w:pStyle w:val="TableContents"/>
              <w:bidi w:val="0"/>
              <w:spacing w:before="0" w:after="0"/>
              <w:jc w:val="left"/>
              <w:rPr>
                <w:rFonts w:ascii="Times New Roman" w:hAnsi="Times New Roman"/>
                <w:sz w:val="20"/>
              </w:rPr>
            </w:pPr>
            <w:r>
              <w:rPr>
                <w:rFonts w:ascii="Times New Roman" w:hAnsi="Times New Roman"/>
                <w:sz w:val="20"/>
              </w:rPr>
              <w:t>+1 202 261 3300 Main</w:t>
            </w:r>
          </w:p>
          <w:p>
            <w:pPr>
              <w:pStyle w:val="TableContents"/>
              <w:bidi w:val="0"/>
              <w:spacing w:before="0" w:after="0"/>
              <w:jc w:val="left"/>
              <w:rPr>
                <w:rFonts w:ascii="Times New Roman" w:hAnsi="Times New Roman"/>
                <w:sz w:val="20"/>
              </w:rPr>
            </w:pPr>
            <w:r>
              <w:rPr>
                <w:rFonts w:ascii="Times New Roman" w:hAnsi="Times New Roman"/>
                <w:sz w:val="20"/>
              </w:rPr>
              <w:t>+1 202 261 3333 Fax</w:t>
            </w:r>
          </w:p>
          <w:p>
            <w:pPr>
              <w:pStyle w:val="TableContents"/>
              <w:bidi w:val="0"/>
              <w:spacing w:before="0" w:after="0"/>
              <w:jc w:val="left"/>
              <w:rPr>
                <w:rFonts w:ascii="Times New Roman" w:hAnsi="Times New Roman"/>
                <w:sz w:val="20"/>
              </w:rPr>
            </w:pPr>
            <w:r>
              <w:rPr>
                <w:rFonts w:ascii="Times New Roman" w:hAnsi="Times New Roman"/>
                <w:sz w:val="20"/>
              </w:rPr>
              <w:t>www.dechert.com</w:t>
            </w:r>
          </w:p>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March 24, 2026 </w:t>
      </w:r>
    </w:p>
    <w:p>
      <w:pPr>
        <w:pStyle w:val="TextBody"/>
        <w:bidi w:val="0"/>
        <w:spacing w:before="240" w:after="0"/>
        <w:jc w:val="left"/>
        <w:rPr>
          <w:rFonts w:ascii="Times New Roman" w:hAnsi="Times New Roman"/>
          <w:sz w:val="20"/>
        </w:rPr>
      </w:pPr>
      <w:r>
        <w:rPr>
          <w:rFonts w:ascii="Times New Roman" w:hAnsi="Times New Roman"/>
          <w:sz w:val="20"/>
        </w:rPr>
        <w:t xml:space="preserve">BCP Investment Corporation </w:t>
      </w:r>
    </w:p>
    <w:p>
      <w:pPr>
        <w:pStyle w:val="TextBody"/>
        <w:bidi w:val="0"/>
        <w:spacing w:before="0" w:after="0"/>
        <w:jc w:val="left"/>
        <w:rPr>
          <w:rFonts w:ascii="Times New Roman" w:hAnsi="Times New Roman"/>
          <w:sz w:val="20"/>
        </w:rPr>
      </w:pPr>
      <w:r>
        <w:rPr>
          <w:rFonts w:ascii="Times New Roman" w:hAnsi="Times New Roman"/>
          <w:sz w:val="20"/>
        </w:rPr>
        <w:t xml:space="preserve">650 Madison Avenue, 3rd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BCP Investment Corporation (f/k/a Portman Ridge Finance Corporation), a Delaware corporation (the “</w:t>
      </w:r>
      <w:r>
        <w:rPr>
          <w:rFonts w:ascii="Times New Roman" w:hAnsi="Times New Roman"/>
          <w:sz w:val="20"/>
          <w:u w:val="single"/>
        </w:rPr>
        <w:t>Company</w:t>
      </w:r>
      <w:r>
        <w:rPr>
          <w:rFonts w:ascii="Times New Roman" w:hAnsi="Times New Roman"/>
          <w:sz w:val="20"/>
        </w:rPr>
        <w:t>”), in connection with the preparation and filing of a registration statement on Form N-2 (File No. 333-283443) as originally filed on November 25, 2024 and declared effective by the U.S. Securities and Exchange Commission (the “</w:t>
      </w:r>
      <w:r>
        <w:rPr>
          <w:rFonts w:ascii="Times New Roman" w:hAnsi="Times New Roman"/>
          <w:sz w:val="20"/>
          <w:u w:val="single"/>
        </w:rPr>
        <w:t>Commission</w:t>
      </w:r>
      <w:r>
        <w:rPr>
          <w:rFonts w:ascii="Times New Roman" w:hAnsi="Times New Roman"/>
          <w:sz w:val="20"/>
        </w:rPr>
        <w:t>”) on February 10, 2025 under the Securities Act of 1933, as amended (the “</w:t>
      </w:r>
      <w:r>
        <w:rPr>
          <w:rFonts w:ascii="Times New Roman" w:hAnsi="Times New Roman"/>
          <w:sz w:val="20"/>
          <w:u w:val="single"/>
        </w:rPr>
        <w:t>Securities Act</w:t>
      </w:r>
      <w:r>
        <w:rPr>
          <w:rFonts w:ascii="Times New Roman" w:hAnsi="Times New Roman"/>
          <w:sz w:val="20"/>
        </w:rPr>
        <w:t>”) (such registration statement, as amended, including the exhibits and schedules thereto, at its most recent effective date, and including any information contained in the Prospectus (as defined below) subsequently filed with the Commission pursuant to Rule 424 or deemed to be part of such registration statement pursuant to Rule 430B of the Commission under the Securities Act and any information incorporated by reference into any of the foregoing, being referred to collectively as the “</w:t>
      </w:r>
      <w:r>
        <w:rPr>
          <w:rFonts w:ascii="Times New Roman" w:hAnsi="Times New Roman"/>
          <w:sz w:val="20"/>
          <w:u w:val="single"/>
        </w:rPr>
        <w:t>Registration Statement</w:t>
      </w:r>
      <w:r>
        <w:rPr>
          <w:rFonts w:ascii="Times New Roman" w:hAnsi="Times New Roman"/>
          <w:sz w:val="20"/>
        </w:rPr>
        <w:t>”), relating to the public offering of securities of the Company that may be offered by the Company from time to time as set forth in the prospectus dated February 10, 2025 (the “</w:t>
      </w:r>
      <w:r>
        <w:rPr>
          <w:rFonts w:ascii="Times New Roman" w:hAnsi="Times New Roman"/>
          <w:sz w:val="20"/>
          <w:u w:val="single"/>
        </w:rPr>
        <w:t>Base Prospectus</w:t>
      </w:r>
      <w:r>
        <w:rPr>
          <w:rFonts w:ascii="Times New Roman" w:hAnsi="Times New Roman"/>
          <w:sz w:val="20"/>
        </w:rPr>
        <w:t xml:space="preserve">”), which formed a part of the Registration Statement at the time it became effective, and as may be set forth from time to time in amounts, at prices, and on terms to be set forth in one or more supplements to the Base Prospectus. </w:t>
      </w:r>
    </w:p>
    <w:p>
      <w:pPr>
        <w:pStyle w:val="TextBody"/>
        <w:bidi w:val="0"/>
        <w:spacing w:before="240" w:after="0"/>
        <w:jc w:val="left"/>
        <w:rPr>
          <w:rFonts w:ascii="Times New Roman" w:hAnsi="Times New Roman"/>
          <w:sz w:val="20"/>
        </w:rPr>
      </w:pPr>
      <w:r>
        <w:rPr>
          <w:rFonts w:ascii="Times New Roman" w:hAnsi="Times New Roman"/>
          <w:sz w:val="20"/>
        </w:rPr>
        <w:t>This opinion letter is rendered in connection with the issuance and sale by the Company of $50,000,000 in aggregate principal amount of 7.50% notes due 2029 (the “</w:t>
      </w:r>
      <w:r>
        <w:rPr>
          <w:rFonts w:ascii="Times New Roman" w:hAnsi="Times New Roman"/>
          <w:sz w:val="20"/>
          <w:u w:val="single"/>
        </w:rPr>
        <w:t>Notes</w:t>
      </w:r>
      <w:r>
        <w:rPr>
          <w:rFonts w:ascii="Times New Roman" w:hAnsi="Times New Roman"/>
          <w:sz w:val="20"/>
        </w:rPr>
        <w:t>”) pursuant to the Note Purchase Agreement, dated as of March 20, 2026 (the “</w:t>
      </w:r>
      <w:r>
        <w:rPr>
          <w:rFonts w:ascii="Times New Roman" w:hAnsi="Times New Roman"/>
          <w:sz w:val="20"/>
          <w:u w:val="single"/>
        </w:rPr>
        <w:t>Note Purchase Agreement</w:t>
      </w:r>
      <w:r>
        <w:rPr>
          <w:rFonts w:ascii="Times New Roman" w:hAnsi="Times New Roman"/>
          <w:sz w:val="20"/>
        </w:rPr>
        <w:t>”), by and among the Company and the several purchasers party (the “</w:t>
      </w:r>
      <w:r>
        <w:rPr>
          <w:rFonts w:ascii="Times New Roman" w:hAnsi="Times New Roman"/>
          <w:sz w:val="20"/>
          <w:u w:val="single"/>
        </w:rPr>
        <w:t>Purchasers</w:t>
      </w:r>
      <w:r>
        <w:rPr>
          <w:rFonts w:ascii="Times New Roman" w:hAnsi="Times New Roman"/>
          <w:sz w:val="20"/>
        </w:rPr>
        <w:t xml:space="preserve">”) named in </w:t>
      </w:r>
      <w:r>
        <w:rPr>
          <w:rFonts w:ascii="Times New Roman" w:hAnsi="Times New Roman"/>
          <w:sz w:val="20"/>
          <w:u w:val="single"/>
        </w:rPr>
        <w:t>Schedule I</w:t>
      </w:r>
      <w:r>
        <w:rPr>
          <w:rFonts w:ascii="Times New Roman" w:hAnsi="Times New Roman"/>
          <w:sz w:val="20"/>
        </w:rPr>
        <w:t xml:space="preserve"> thereto. All of the Notes are to be sold by the Company as described in the Registration Statement, the Base Prospectus and the prospectus supplement dated March 20, 2026 (the “</w:t>
      </w:r>
      <w:r>
        <w:rPr>
          <w:rFonts w:ascii="Times New Roman" w:hAnsi="Times New Roman"/>
          <w:sz w:val="20"/>
          <w:u w:val="single"/>
        </w:rPr>
        <w:t>Prospectus Supplement</w:t>
      </w:r>
      <w:r>
        <w:rPr>
          <w:rFonts w:ascii="Times New Roman" w:hAnsi="Times New Roman"/>
          <w:sz w:val="20"/>
        </w:rPr>
        <w:t>” and, together with the Base Prospectus, the “</w:t>
      </w:r>
      <w:r>
        <w:rPr>
          <w:rFonts w:ascii="Times New Roman" w:hAnsi="Times New Roman"/>
          <w:sz w:val="20"/>
          <w:u w:val="single"/>
        </w:rPr>
        <w:t>Prospectus</w:t>
      </w:r>
      <w:r>
        <w:rPr>
          <w:rFonts w:ascii="Times New Roman" w:hAnsi="Times New Roman"/>
          <w:sz w:val="20"/>
        </w:rPr>
        <w:t xml:space="preserve">”). This opinion letter is being furnished to the Company pursuant to Section 3.2.1.2(g) of the Note Purchase Agreement and in accordance with the requirements of Item 25 of Form N-2 under the Securities Act, and we express no opinion herein as to any matter other than as to the legality of the Notes.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705"/>
        <w:gridCol w:w="124"/>
        <w:gridCol w:w="3113"/>
        <w:gridCol w:w="124"/>
        <w:gridCol w:w="3139"/>
      </w:tblGrid>
      <w:tr>
        <w:trPr/>
        <w:tc>
          <w:tcPr>
            <w:tcW w:w="370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r>
      <w:tr>
        <w:trPr/>
        <w:tc>
          <w:tcPr>
            <w:tcW w:w="3705" w:type="dxa"/>
            <w:tcBorders/>
          </w:tcPr>
          <w:p>
            <w:pPr>
              <w:pStyle w:val="TableContents"/>
              <w:bidi w:val="0"/>
              <w:spacing w:before="0" w:after="283"/>
              <w:jc w:val="left"/>
              <w:rPr/>
            </w:pPr>
            <w:r>
              <w:rPr/>
              <w:drawing>
                <wp:inline distT="0" distB="0" distL="0" distR="0">
                  <wp:extent cx="847725"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47725" cy="771525"/>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3113"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39" w:type="dxa"/>
            <w:tcBorders/>
          </w:tcPr>
          <w:p>
            <w:pPr>
              <w:pStyle w:val="TableContents"/>
              <w:bidi w:val="0"/>
              <w:spacing w:before="0" w:after="0"/>
              <w:jc w:val="right"/>
              <w:rPr>
                <w:rFonts w:ascii="Times New Roman" w:hAnsi="Times New Roman"/>
                <w:sz w:val="20"/>
              </w:rPr>
            </w:pPr>
            <w:r>
              <w:rPr>
                <w:rFonts w:ascii="Times New Roman" w:hAnsi="Times New Roman"/>
                <w:sz w:val="20"/>
              </w:rPr>
              <w:t>March 24, 2026</w:t>
            </w:r>
          </w:p>
          <w:p>
            <w:pPr>
              <w:pStyle w:val="TableContents"/>
              <w:bidi w:val="0"/>
              <w:spacing w:before="0" w:after="20"/>
              <w:jc w:val="right"/>
              <w:rPr>
                <w:rFonts w:ascii="Times New Roman" w:hAnsi="Times New Roman"/>
                <w:sz w:val="20"/>
              </w:rPr>
            </w:pPr>
            <w:r>
              <w:rPr>
                <w:rFonts w:ascii="Times New Roman" w:hAnsi="Times New Roman"/>
                <w:sz w:val="20"/>
              </w:rPr>
              <w:t>Page 2</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of Incorporation of the Company, as amended from time to time, certified as of the date hereof by an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Fourth Amended and Restated Bylaws of the Company, certified as of the date hereof by an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good standing with respect to the Company issued by the Secretary of State of the State of Delaware as of a recent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base indenture between the Company and U.S. Bank Trust Company, National Association, a national banking association, as trustee (the “</w:t>
            </w:r>
            <w:r>
              <w:rPr>
                <w:rFonts w:ascii="Times New Roman" w:hAnsi="Times New Roman"/>
                <w:sz w:val="20"/>
                <w:u w:val="single"/>
              </w:rPr>
              <w:t>Trustee</w:t>
            </w:r>
            <w:r>
              <w:rPr>
                <w:rFonts w:ascii="Times New Roman" w:hAnsi="Times New Roman"/>
                <w:sz w:val="20"/>
              </w:rPr>
              <w:t>”), dated as of October 10, 2012 (the “</w:t>
            </w:r>
            <w:r>
              <w:rPr>
                <w:rFonts w:ascii="Times New Roman" w:hAnsi="Times New Roman"/>
                <w:sz w:val="20"/>
                <w:u w:val="single"/>
              </w:rPr>
              <w:t>Base Indenture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sixth supplemental indenture relating to the Notes, dated as of March 24, 2026, by and between the Company and the Trustee (together with the Base Indenture, the “</w:t>
            </w:r>
            <w:r>
              <w:rPr>
                <w:rFonts w:ascii="Times New Roman" w:hAnsi="Times New Roman"/>
                <w:sz w:val="20"/>
                <w:u w:val="single"/>
              </w:rPr>
              <w:t>Indenture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resolutions of the board of directors of the Company, or a duly authorized committee thereof, relating to, among other things, (a) the authorization and approval of the preparation and filing of the Registration Statement, (b) the authorization, execution and delivery of the Indenture and (c) the authorization, issuance and sale of the Notes, certified as of the date hereof by an officer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specimen copy of the form of the Notes to be issued pursuant to the Indenture in the form attached to the Indenture.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705"/>
        <w:gridCol w:w="124"/>
        <w:gridCol w:w="3113"/>
        <w:gridCol w:w="124"/>
        <w:gridCol w:w="3139"/>
      </w:tblGrid>
      <w:tr>
        <w:trPr/>
        <w:tc>
          <w:tcPr>
            <w:tcW w:w="370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r>
      <w:tr>
        <w:trPr/>
        <w:tc>
          <w:tcPr>
            <w:tcW w:w="3705" w:type="dxa"/>
            <w:tcBorders/>
          </w:tcPr>
          <w:p>
            <w:pPr>
              <w:pStyle w:val="TableContents"/>
              <w:bidi w:val="0"/>
              <w:spacing w:before="0" w:after="283"/>
              <w:jc w:val="left"/>
              <w:rPr/>
            </w:pPr>
            <w:r>
              <w:rPr/>
              <w:drawing>
                <wp:inline distT="0" distB="0" distL="0" distR="0">
                  <wp:extent cx="8477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47725" cy="771525"/>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3113"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39" w:type="dxa"/>
            <w:tcBorders/>
          </w:tcPr>
          <w:p>
            <w:pPr>
              <w:pStyle w:val="TableContents"/>
              <w:bidi w:val="0"/>
              <w:spacing w:before="0" w:after="0"/>
              <w:jc w:val="right"/>
              <w:rPr>
                <w:rFonts w:ascii="Times New Roman" w:hAnsi="Times New Roman"/>
                <w:sz w:val="20"/>
              </w:rPr>
            </w:pPr>
            <w:r>
              <w:rPr>
                <w:rFonts w:ascii="Times New Roman" w:hAnsi="Times New Roman"/>
                <w:sz w:val="20"/>
              </w:rPr>
              <w:t>March 24, 2026</w:t>
            </w:r>
          </w:p>
          <w:p>
            <w:pPr>
              <w:pStyle w:val="TableContents"/>
              <w:bidi w:val="0"/>
              <w:spacing w:before="0" w:after="20"/>
              <w:jc w:val="right"/>
              <w:rPr>
                <w:rFonts w:ascii="Times New Roman" w:hAnsi="Times New Roman"/>
                <w:sz w:val="20"/>
              </w:rPr>
            </w:pPr>
            <w:r>
              <w:rPr>
                <w:rFonts w:ascii="Times New Roman" w:hAnsi="Times New Roman"/>
                <w:sz w:val="20"/>
              </w:rPr>
              <w:t>Page 3</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With respect to such examination and our opinion expressed herein, we have assumed, without any independent investigation or verification, (i) the genuineness of all signatures on all documents submitted to us for examination, (ii) the legal capacity of all natural persons, (iii) the authenticity of all documents submitted to us as originals, (iv) the conformity to original documents of all documents submitted to us as conformed or reproduced copies and the authenticity of the originals of such copied documents, (v) that all certificates issued by public officials or officers of the Company have been properly issued, (vi) the accuracy and completeness of all corporate records made available to us by the Company, (vii) that the Indenture is a valid and legally binding obligation of the parties thereto (other than the Company), and (viii) that at the time of issuance of the Notes, after giving effect to such issuance, the Company will be in compliance with Section 18(a)(1)(A) of the Investment Company Act of 1940, as amended (the “1940 Act”), giving effect to Section 61(a)(2)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As to the facts upon which this opinion is based, we have relied, to the extent we deem proper, upon certificates of public officials (which we have assumed remain accurate as of the date of this opinion letter) and certificates and written statements of agents, officers, directors and representatives of the Company without having independently verified such factual matters.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subject to the assumptions, qualifications and limitations set forth in this letter, we are of the opinion that, when the Notes are duly executed and delivered by duly authorized officers of the Company and duly authenticated by the Trustee, all in accordance with the provisions of the Indenture, and delivered to the Purchasers thereof against payment of the agreed consideration therefor, the Notes will constitute valid and legally binding obligations of the Company, enforceable against the Company in accordance with their terms, except as such enforceability may be limited by applicable bankruptcy, insolvency, reorganization, receivership, moratorium, fraudulent conveyance, and other similar laws affecting the rights and remedies of creditors generally and by general principles of equity (including, without limitation, the availability of specific performance or injunctive relief and the application of concepts of materiality, reasonableness, good faith and fair dealing), regardless of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contract laws of the State of New York, as in effect on the date hereof, and we express no opinion with respect to any other laws of the State of New York or the laws of any other jurisdiction. Without limiting the preceding sentence, we express no opinion as to any state securities or broker-dealer laws or regulations thereunder relating to the offer, issuance or 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in this opinion letter is: (a) strictly limited to the matters stated in this opinion letter, and without limiting the foregoing, no other opinions are to be inferred and (b) only as of the date of this opinion letter, and we are under no obligation, and do not undertake, to advise the Company or any other person or entity either of any change of law or fact that occurs, or of any fact that comes to our attention, after the date of this opinion letter, even though such change or such fact may affect the legal analysis or a legal conclusion in this opinion letter.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705"/>
        <w:gridCol w:w="124"/>
        <w:gridCol w:w="3113"/>
        <w:gridCol w:w="124"/>
        <w:gridCol w:w="3139"/>
      </w:tblGrid>
      <w:tr>
        <w:trPr/>
        <w:tc>
          <w:tcPr>
            <w:tcW w:w="370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r>
      <w:tr>
        <w:trPr/>
        <w:tc>
          <w:tcPr>
            <w:tcW w:w="3705" w:type="dxa"/>
            <w:tcBorders/>
          </w:tcPr>
          <w:p>
            <w:pPr>
              <w:pStyle w:val="TableContents"/>
              <w:bidi w:val="0"/>
              <w:spacing w:before="0" w:after="283"/>
              <w:jc w:val="left"/>
              <w:rPr/>
            </w:pPr>
            <w:r>
              <w:rPr/>
              <w:drawing>
                <wp:inline distT="0" distB="0" distL="0" distR="0">
                  <wp:extent cx="847725" cy="771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47725" cy="771525"/>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3113"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39" w:type="dxa"/>
            <w:tcBorders/>
          </w:tcPr>
          <w:p>
            <w:pPr>
              <w:pStyle w:val="TableContents"/>
              <w:bidi w:val="0"/>
              <w:spacing w:before="0" w:after="0"/>
              <w:jc w:val="right"/>
              <w:rPr>
                <w:rFonts w:ascii="Times New Roman" w:hAnsi="Times New Roman"/>
                <w:sz w:val="20"/>
              </w:rPr>
            </w:pPr>
            <w:r>
              <w:rPr>
                <w:rFonts w:ascii="Times New Roman" w:hAnsi="Times New Roman"/>
                <w:sz w:val="20"/>
              </w:rPr>
              <w:t>March 24, 2026</w:t>
            </w:r>
          </w:p>
          <w:p>
            <w:pPr>
              <w:pStyle w:val="TableContents"/>
              <w:bidi w:val="0"/>
              <w:spacing w:before="0" w:after="20"/>
              <w:jc w:val="right"/>
              <w:rPr>
                <w:rFonts w:ascii="Times New Roman" w:hAnsi="Times New Roman"/>
                <w:sz w:val="20"/>
              </w:rPr>
            </w:pPr>
            <w:r>
              <w:rPr>
                <w:rFonts w:ascii="Times New Roman" w:hAnsi="Times New Roman"/>
                <w:sz w:val="20"/>
              </w:rPr>
              <w:t>Page 4</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filing of this opinion letter as an exhibit to the Company’s Current Report on Form 8-K to be filed with the Commission on the date hereof and to the reference to this firm under the caption “Legal Matters” in the Registration Statement and the Prospectus. In giving such consent, we do not admit that we are in the category of persons whose consent is required under Section 7 of the Securities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Dechert LLP </w:t>
      </w:r>
    </w:p>
    <w:p>
      <w:pPr>
        <w:pStyle w:val="TextBody"/>
        <w:bidi w:val="0"/>
        <w:spacing w:before="240" w:after="0"/>
        <w:jc w:val="left"/>
        <w:rPr>
          <w:rFonts w:ascii="Times New Roman" w:hAnsi="Times New Roman"/>
          <w:sz w:val="20"/>
        </w:rPr>
      </w:pPr>
      <w:r>
        <w:rPr>
          <w:rFonts w:ascii="Times New Roman" w:hAnsi="Times New Roman"/>
          <w:sz w:val="20"/>
        </w:rPr>
        <w:t xml:space="preserve">Dechert LLP </w:t>
      </w:r>
    </w:p>
    <w:p>
      <w:pPr>
        <w:pStyle w:val="TextBody"/>
        <w:bidi w:val="0"/>
        <w:spacing w:before="0" w:after="0"/>
        <w:jc w:val="right"/>
        <w:rPr>
          <w:rFonts w:ascii="Times New Roman" w:hAnsi="Times New Roman"/>
          <w:b/>
          <w:sz w:val="20"/>
        </w:rPr>
      </w:pPr>
      <w:bookmarkStart w:id="6" w:name="d114630dex101.htm"/>
      <w:bookmarkStart w:id="7" w:name="ksd114630dex101"/>
      <w:bookmarkEnd w:id="6"/>
      <w:bookmarkEnd w:id="7"/>
      <w:r>
        <w:rPr>
          <w:rFonts w:ascii="Times New Roman" w:hAnsi="Times New Roman"/>
          <w:b/>
          <w:sz w:val="20"/>
        </w:rPr>
        <w:t xml:space="preserve">Exhibit 10.1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NOTE PURCHASE AGREEMENT </w:t>
      </w:r>
    </w:p>
    <w:p>
      <w:pPr>
        <w:pStyle w:val="TextBody"/>
        <w:bidi w:val="0"/>
        <w:spacing w:before="240" w:after="0"/>
        <w:jc w:val="left"/>
        <w:rPr>
          <w:rFonts w:ascii="Times New Roman" w:hAnsi="Times New Roman"/>
          <w:sz w:val="20"/>
        </w:rPr>
      </w:pPr>
      <w:r>
        <w:rPr>
          <w:rFonts w:ascii="Times New Roman" w:hAnsi="Times New Roman"/>
          <w:sz w:val="20"/>
        </w:rPr>
        <w:t>This NOTE PURCHASE AGREEMENT (this “</w:t>
      </w:r>
      <w:r>
        <w:rPr>
          <w:rFonts w:ascii="Times New Roman" w:hAnsi="Times New Roman"/>
          <w:sz w:val="20"/>
          <w:u w:val="single"/>
        </w:rPr>
        <w:t>Agreement</w:t>
      </w:r>
      <w:r>
        <w:rPr>
          <w:rFonts w:ascii="Times New Roman" w:hAnsi="Times New Roman"/>
          <w:sz w:val="20"/>
        </w:rPr>
        <w:t>”) is dated as of March 20, 2026, and is made by and among BCP Investment Corporation (f/k/a, Portman Ridge Finance Corporation), a Delaware corporation (“</w:t>
      </w:r>
      <w:r>
        <w:rPr>
          <w:rFonts w:ascii="Times New Roman" w:hAnsi="Times New Roman"/>
          <w:sz w:val="20"/>
          <w:u w:val="single"/>
        </w:rPr>
        <w:t>Company</w:t>
      </w:r>
      <w:r>
        <w:rPr>
          <w:rFonts w:ascii="Times New Roman" w:hAnsi="Times New Roman"/>
          <w:sz w:val="20"/>
        </w:rPr>
        <w:t>”), and the several purchasers of the Notes (as defined herein) (each a “</w:t>
      </w:r>
      <w:r>
        <w:rPr>
          <w:rFonts w:ascii="Times New Roman" w:hAnsi="Times New Roman"/>
          <w:sz w:val="20"/>
          <w:u w:val="single"/>
        </w:rPr>
        <w:t>Purchaser</w:t>
      </w:r>
      <w:r>
        <w:rPr>
          <w:rFonts w:ascii="Times New Roman" w:hAnsi="Times New Roman"/>
          <w:sz w:val="20"/>
        </w:rPr>
        <w:t>” and collectively, the “</w:t>
      </w:r>
      <w:r>
        <w:rPr>
          <w:rFonts w:ascii="Times New Roman" w:hAnsi="Times New Roman"/>
          <w:sz w:val="20"/>
          <w:u w:val="single"/>
        </w:rPr>
        <w:t>Purchasers</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subject to the terms and conditions set forth in this Agreement and pursuant to an effective registration statement under the Securities Act of 1933, as amended (the “</w:t>
      </w:r>
      <w:r>
        <w:rPr>
          <w:rFonts w:ascii="Times New Roman" w:hAnsi="Times New Roman"/>
          <w:sz w:val="20"/>
          <w:u w:val="single"/>
        </w:rPr>
        <w:t>Securities Act”)</w:t>
      </w:r>
      <w:r>
        <w:rPr>
          <w:rFonts w:ascii="Times New Roman" w:hAnsi="Times New Roman"/>
          <w:sz w:val="20"/>
        </w:rPr>
        <w:t>, the Company desires to issue, and each Purchaser, severally and not jointly, desires to purchase from the Company, $50.0 million in aggregate principal amount of 7.50% notes due 2029 (the “</w:t>
      </w:r>
      <w:r>
        <w:rPr>
          <w:rFonts w:ascii="Times New Roman" w:hAnsi="Times New Roman"/>
          <w:sz w:val="20"/>
          <w:u w:val="single"/>
        </w:rPr>
        <w:t>2029 Notes</w:t>
      </w:r>
      <w:r>
        <w:rPr>
          <w:rFonts w:ascii="Times New Roman" w:hAnsi="Times New Roman"/>
          <w:sz w:val="20"/>
        </w:rPr>
        <w:t>”), the amount set forth on each Purchaser’s signature page (the “</w:t>
      </w:r>
      <w:r>
        <w:rPr>
          <w:rFonts w:ascii="Times New Roman" w:hAnsi="Times New Roman"/>
          <w:sz w:val="20"/>
          <w:u w:val="single"/>
        </w:rPr>
        <w:t>Notes Amount</w:t>
      </w:r>
      <w:r>
        <w:rPr>
          <w:rFonts w:ascii="Times New Roman" w:hAnsi="Times New Roman"/>
          <w:sz w:val="20"/>
        </w:rPr>
        <w:t xml:space="preserve">”) upon the terms and conditions as more particularly provided herein.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Company has engaged Lucid Capital Markets, LLC (“</w:t>
      </w:r>
      <w:r>
        <w:rPr>
          <w:rFonts w:ascii="Times New Roman" w:hAnsi="Times New Roman"/>
          <w:sz w:val="20"/>
          <w:u w:val="single"/>
        </w:rPr>
        <w:t>Lucid</w:t>
      </w:r>
      <w:r>
        <w:rPr>
          <w:rFonts w:ascii="Times New Roman" w:hAnsi="Times New Roman"/>
          <w:sz w:val="20"/>
        </w:rPr>
        <w:t xml:space="preserve">”) as its financial advisor as its structuring advisor in connection with the offering of the Notes.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mutual covenants, conditions and agreements herein contained and other good and valuable consideration, the receipt of which is hereby acknowledged, the parties hereto hereby agree as follows: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1. </w:t>
      </w:r>
      <w:r>
        <w:rPr>
          <w:rFonts w:ascii="Times New Roman" w:hAnsi="Times New Roman"/>
          <w:b/>
          <w:sz w:val="20"/>
          <w:u w:val="single"/>
        </w:rPr>
        <w:t>DEFINITIONS.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Defined Terms</w:t>
      </w:r>
      <w:r>
        <w:rPr>
          <w:rFonts w:ascii="Times New Roman" w:hAnsi="Times New Roman"/>
          <w:sz w:val="20"/>
        </w:rPr>
        <w:t xml:space="preserve">. The following capitalized terms used in this Agreement have the meanings defined or referenced below. Certain other capitalized terms used only in specific sections of this Agreement may be defined in such sections. </w:t>
      </w:r>
    </w:p>
    <w:p>
      <w:pPr>
        <w:pStyle w:val="TextBody"/>
        <w:bidi w:val="0"/>
        <w:spacing w:before="240" w:after="0"/>
        <w:jc w:val="left"/>
        <w:rPr/>
      </w:pPr>
      <w:r>
        <w:rPr/>
        <w:t>“</w:t>
      </w:r>
      <w:r>
        <w:rPr>
          <w:rFonts w:ascii="Times New Roman" w:hAnsi="Times New Roman"/>
          <w:sz w:val="20"/>
          <w:u w:val="single"/>
        </w:rPr>
        <w:t>2032 Convertible Notes</w:t>
      </w:r>
      <w:r>
        <w:rPr>
          <w:rFonts w:ascii="Times New Roman" w:hAnsi="Times New Roman"/>
          <w:sz w:val="20"/>
        </w:rPr>
        <w:t xml:space="preserve">” has the meaning set forth in Section 4.1.2. </w:t>
      </w:r>
    </w:p>
    <w:p>
      <w:pPr>
        <w:pStyle w:val="TextBody"/>
        <w:bidi w:val="0"/>
        <w:spacing w:before="240" w:after="0"/>
        <w:jc w:val="left"/>
        <w:rPr/>
      </w:pPr>
      <w:r>
        <w:rPr/>
        <w:t>“</w:t>
      </w:r>
      <w:r>
        <w:rPr>
          <w:rFonts w:ascii="Times New Roman" w:hAnsi="Times New Roman"/>
          <w:sz w:val="20"/>
          <w:u w:val="single"/>
        </w:rPr>
        <w:t>Affiliate(s)</w:t>
      </w:r>
      <w:r>
        <w:rPr>
          <w:rFonts w:ascii="Times New Roman" w:hAnsi="Times New Roman"/>
          <w:sz w:val="20"/>
        </w:rPr>
        <w:t xml:space="preserve">” means, with respect to any Person, such Person’s members, partners, members or parent and subsidiary corporations, and any other Person directly or indirectly controlling, controlled by, or under direct or indirect common control with said Person and their respective Affiliates.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hereto. </w:t>
      </w:r>
    </w:p>
    <w:p>
      <w:pPr>
        <w:pStyle w:val="TextBody"/>
        <w:bidi w:val="0"/>
        <w:spacing w:before="240" w:after="0"/>
        <w:jc w:val="left"/>
        <w:rPr/>
      </w:pPr>
      <w:r>
        <w:rPr/>
        <w:t>“</w:t>
      </w:r>
      <w:r>
        <w:rPr>
          <w:rFonts w:ascii="Times New Roman" w:hAnsi="Times New Roman"/>
          <w:sz w:val="20"/>
          <w:u w:val="single"/>
        </w:rPr>
        <w:t>Applicable Procedures</w:t>
      </w:r>
      <w:r>
        <w:rPr>
          <w:rFonts w:ascii="Times New Roman" w:hAnsi="Times New Roman"/>
          <w:sz w:val="20"/>
        </w:rPr>
        <w:t xml:space="preserve">” means, with respect to any transfer or exchange of or for beneficial interests in any Note represented by a global certificate, the rules and procedures of DTC that apply to such transfer or exchange.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Base Indenture</w:t>
      </w:r>
      <w:r>
        <w:rPr>
          <w:rFonts w:ascii="Times New Roman" w:hAnsi="Times New Roman"/>
          <w:sz w:val="20"/>
        </w:rPr>
        <w:t xml:space="preserve">” means the base indenture between Company and U.S. Bank Trust Company, National Association (as successor in interest to U.S. Bank National Association), as trustee, dated as of October 10, 2012. </w:t>
      </w:r>
    </w:p>
    <w:p>
      <w:pPr>
        <w:pStyle w:val="TextBody"/>
        <w:bidi w:val="0"/>
        <w:spacing w:before="240" w:after="0"/>
        <w:jc w:val="left"/>
        <w:rPr/>
      </w:pPr>
      <w:r>
        <w:rPr/>
        <w:t>“</w:t>
      </w:r>
      <w:r>
        <w:rPr>
          <w:rFonts w:ascii="Times New Roman" w:hAnsi="Times New Roman"/>
          <w:sz w:val="20"/>
          <w:u w:val="single"/>
        </w:rPr>
        <w:t>Base Prospectus</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Saturday, Sunday or any other day on which banking institutions in the State of New York are permitted or required by any applicable law or executive order to close. </w:t>
      </w:r>
    </w:p>
    <w:p>
      <w:pPr>
        <w:pStyle w:val="TextBody"/>
        <w:bidi w:val="0"/>
        <w:spacing w:before="240" w:after="0"/>
        <w:jc w:val="left"/>
        <w:rPr/>
      </w:pPr>
      <w:r>
        <w:rPr/>
        <w:t>“</w:t>
      </w:r>
      <w:r>
        <w:rPr>
          <w:rFonts w:ascii="Times New Roman" w:hAnsi="Times New Roman"/>
          <w:sz w:val="20"/>
          <w:u w:val="single"/>
        </w:rPr>
        <w:t>Bylaws</w:t>
      </w:r>
      <w:r>
        <w:rPr>
          <w:rFonts w:ascii="Times New Roman" w:hAnsi="Times New Roman"/>
          <w:sz w:val="20"/>
        </w:rPr>
        <w:t xml:space="preserve">” means the Fourth Amended and Restated Bylaws of Company, as in effect on the Closing Date. </w:t>
      </w:r>
    </w:p>
    <w:p>
      <w:pPr>
        <w:pStyle w:val="TextBody"/>
        <w:bidi w:val="0"/>
        <w:spacing w:before="240" w:after="0"/>
        <w:jc w:val="left"/>
        <w:rPr/>
      </w:pPr>
      <w:r>
        <w:rPr/>
        <w:t>“</w:t>
      </w:r>
      <w:r>
        <w:rPr>
          <w:rFonts w:ascii="Times New Roman" w:hAnsi="Times New Roman"/>
          <w:sz w:val="20"/>
          <w:u w:val="single"/>
        </w:rPr>
        <w:t>Certificate of Incorporation</w:t>
      </w:r>
      <w:r>
        <w:rPr>
          <w:rFonts w:ascii="Times New Roman" w:hAnsi="Times New Roman"/>
          <w:sz w:val="20"/>
        </w:rPr>
        <w:t xml:space="preserve">” means the Certificate of Incorporation of Company, as in effect on the Closing Date.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March 24, 2026.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preamble hereto and shall include any successors to Company. </w:t>
      </w:r>
    </w:p>
    <w:p>
      <w:pPr>
        <w:pStyle w:val="TextBody"/>
        <w:bidi w:val="0"/>
        <w:spacing w:before="240" w:after="0"/>
        <w:jc w:val="left"/>
        <w:rPr/>
      </w:pPr>
      <w:r>
        <w:rPr/>
        <w:t>“</w:t>
      </w:r>
      <w:r>
        <w:rPr>
          <w:rFonts w:ascii="Times New Roman" w:hAnsi="Times New Roman"/>
          <w:sz w:val="20"/>
          <w:u w:val="single"/>
        </w:rPr>
        <w:t>Company’s Reports</w:t>
      </w:r>
      <w:r>
        <w:rPr>
          <w:rFonts w:ascii="Times New Roman" w:hAnsi="Times New Roman"/>
          <w:sz w:val="20"/>
        </w:rPr>
        <w:t xml:space="preserve">” means the Company’s annual, quarterly and other reports, schedules, forms, statements and other documents (including exhibits and other information incorporated therein) filed or furnished by the Company with the SEC under the Securities Act, Exchange Act, or the regulations thereunder, in each case since January 1, 2024. </w:t>
      </w:r>
    </w:p>
    <w:p>
      <w:pPr>
        <w:pStyle w:val="TextBody"/>
        <w:bidi w:val="0"/>
        <w:spacing w:before="240" w:after="0"/>
        <w:jc w:val="left"/>
        <w:rPr/>
      </w:pPr>
      <w:r>
        <w:rPr/>
        <w:t>“</w:t>
      </w:r>
      <w:r>
        <w:rPr>
          <w:rFonts w:ascii="Times New Roman" w:hAnsi="Times New Roman"/>
          <w:sz w:val="20"/>
          <w:u w:val="single"/>
        </w:rPr>
        <w:t>Disbursement</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has the meaning set forth in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Equity Interest</w:t>
      </w:r>
      <w:r>
        <w:rPr>
          <w:rFonts w:ascii="Times New Roman" w:hAnsi="Times New Roman"/>
          <w:sz w:val="20"/>
        </w:rPr>
        <w:t xml:space="preserve">” means any and all shares, interests, participations or other equivalents (however designated) of capital stock of a corporation, any and all equivalent ownership interests in a Person which is not a corporation, and any and all warrants, options or other rights to purchase any of the foregoing.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effect from time to time in the United States of America. </w:t>
      </w:r>
    </w:p>
    <w:p>
      <w:pPr>
        <w:pStyle w:val="TextBody"/>
        <w:bidi w:val="0"/>
        <w:spacing w:before="240" w:after="0"/>
        <w:jc w:val="left"/>
        <w:rPr/>
      </w:pPr>
      <w:r>
        <w:rPr/>
        <w:t>“</w:t>
      </w:r>
      <w:r>
        <w:rPr>
          <w:rFonts w:ascii="Times New Roman" w:hAnsi="Times New Roman"/>
          <w:sz w:val="20"/>
          <w:u w:val="single"/>
        </w:rPr>
        <w:t>Global Notes</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Governmental Agency(ies)</w:t>
      </w:r>
      <w:r>
        <w:rPr>
          <w:rFonts w:ascii="Times New Roman" w:hAnsi="Times New Roman"/>
          <w:sz w:val="20"/>
        </w:rPr>
        <w:t xml:space="preserve">” means, individually or collectively, any federal, state, county or local governmental department, commission, board, regulatory authority or agency (including the SEC) with jurisdiction over Company or a Subsidiary. </w:t>
      </w:r>
    </w:p>
    <w:p>
      <w:pPr>
        <w:pStyle w:val="TextBody"/>
        <w:bidi w:val="0"/>
        <w:spacing w:before="240" w:after="0"/>
        <w:jc w:val="left"/>
        <w:rPr/>
      </w:pPr>
      <w:r>
        <w:rPr/>
        <w:t>“</w:t>
      </w:r>
      <w:r>
        <w:rPr>
          <w:rFonts w:ascii="Times New Roman" w:hAnsi="Times New Roman"/>
          <w:sz w:val="20"/>
          <w:u w:val="single"/>
        </w:rPr>
        <w:t>Governmental Licenses</w:t>
      </w:r>
      <w:r>
        <w:rPr>
          <w:rFonts w:ascii="Times New Roman" w:hAnsi="Times New Roman"/>
          <w:sz w:val="20"/>
        </w:rPr>
        <w:t xml:space="preserve">” has the meaning set forth in </w:t>
      </w:r>
      <w:r>
        <w:rPr>
          <w:rFonts w:ascii="Times New Roman" w:hAnsi="Times New Roman"/>
          <w:sz w:val="20"/>
          <w:u w:val="single"/>
        </w:rPr>
        <w:t>Section 4.3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Indebtedness</w:t>
      </w:r>
      <w:r>
        <w:rPr>
          <w:rFonts w:ascii="Times New Roman" w:hAnsi="Times New Roman"/>
          <w:sz w:val="20"/>
        </w:rPr>
        <w:t xml:space="preserve">” means and includes: (i) all items arising from the borrowing of money that, according to GAAP as in effect from time to time, would be included in determining total liabilities as shown on the consolidated balance sheet of Company; and (ii) all obligations secured by any lien in property owned by Company or any Subsidiary whether or not such obligations shall have been assumed;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w:t>
      </w:r>
      <w:r>
        <w:rPr>
          <w:rFonts w:ascii="Times New Roman" w:hAnsi="Times New Roman"/>
          <w:sz w:val="20"/>
        </w:rPr>
        <w:t xml:space="preserve">r, Indebtedness shall not include other indebtedness created, incurred or maintained in the ordinary course of Company’s business and consistent with customary practices and applicable laws and regulations, including the Investment Company Act.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means the Base Indenture, as supplemented by the Sixth Supplemental Indenture, as the same may be amended or supplemented from time to time in accordance with the terms thereof. </w:t>
      </w:r>
    </w:p>
    <w:p>
      <w:pPr>
        <w:pStyle w:val="TextBody"/>
        <w:bidi w:val="0"/>
        <w:spacing w:before="240" w:after="0"/>
        <w:jc w:val="left"/>
        <w:rPr/>
      </w:pPr>
      <w:r>
        <w:rPr/>
        <w:t>“</w:t>
      </w:r>
      <w:r>
        <w:rPr>
          <w:rFonts w:ascii="Times New Roman" w:hAnsi="Times New Roman"/>
          <w:sz w:val="20"/>
          <w:u w:val="single"/>
        </w:rPr>
        <w:t>Investment Company Act</w:t>
      </w:r>
      <w:r>
        <w:rPr>
          <w:rFonts w:ascii="Times New Roman" w:hAnsi="Times New Roman"/>
          <w:sz w:val="20"/>
        </w:rPr>
        <w:t xml:space="preserve">” means the Investment Company Act of 1940, as amended. </w:t>
      </w:r>
    </w:p>
    <w:p>
      <w:pPr>
        <w:pStyle w:val="TextBody"/>
        <w:bidi w:val="0"/>
        <w:spacing w:before="240" w:after="0"/>
        <w:jc w:val="left"/>
        <w:rPr/>
      </w:pPr>
      <w:r>
        <w:rPr/>
        <w:t>“</w:t>
      </w:r>
      <w:r>
        <w:rPr>
          <w:rFonts w:ascii="Times New Roman" w:hAnsi="Times New Roman"/>
          <w:sz w:val="20"/>
          <w:u w:val="single"/>
        </w:rPr>
        <w:t>LRFC Notes</w:t>
      </w:r>
      <w:r>
        <w:rPr>
          <w:rFonts w:ascii="Times New Roman" w:hAnsi="Times New Roman"/>
          <w:sz w:val="20"/>
        </w:rPr>
        <w:t xml:space="preserve">” means the 5.250% Notes due 2026 issued pursuant to the Fourth Supplemental Indenture, dated as of October 29, 2021, by and between Logan Ridge Finance Corporation (with the Company as successor) and the Trustee. </w:t>
      </w:r>
    </w:p>
    <w:p>
      <w:pPr>
        <w:pStyle w:val="TextBody"/>
        <w:bidi w:val="0"/>
        <w:spacing w:before="240" w:after="0"/>
        <w:jc w:val="left"/>
        <w:rPr/>
      </w:pPr>
      <w:r>
        <w:rPr/>
        <w:t>“</w:t>
      </w:r>
      <w:r>
        <w:rPr>
          <w:rFonts w:ascii="Times New Roman" w:hAnsi="Times New Roman"/>
          <w:sz w:val="20"/>
          <w:u w:val="single"/>
        </w:rPr>
        <w:t>Lucid</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with respect to any Person, any change or effect that (i) is or would be reasonably likely to be material and adverse to the financial condition, results of operations or business of such Person, or (ii) would materially impair the ability of such Person to perform its respective obligations under any of the Transaction Documents, or otherwise materially impede the consummation of the transactions contemplated 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“Material Adverse Effect” shall not be deemed to include the impact of (1) changes in laws, rules or regulations of general applicability or interpretations thereof, including the Investment Company Act and the rules and regulations thereunder, by Governmental Agencies, (2) changes in GAAP or regulatory accounting requirements applicable to investment companies generally, (3) changes after the date of this Agreement in general economic or capital market conditions affecting financial institutions or their market prices generally and not specifically related to Company or Purchasers, (4) direct effects of compliance with this Agreement on the operating performance of Company or Purchasers, including expenses incurred by Company or Purchasers in consummating the transactions contemplated by this Agreement, and (5) the effects of any action or omission taken by Company with the prior written consent of Purchasers, and vice versa, or as otherwise contemplated by this Agreement, the Indenture and the Notes. </w:t>
      </w:r>
    </w:p>
    <w:p>
      <w:pPr>
        <w:pStyle w:val="TextBody"/>
        <w:bidi w:val="0"/>
        <w:spacing w:before="240" w:after="0"/>
        <w:jc w:val="left"/>
        <w:rPr/>
      </w:pPr>
      <w:r>
        <w:rPr/>
        <w:t>“</w:t>
      </w:r>
      <w:r>
        <w:rPr>
          <w:rFonts w:ascii="Times New Roman" w:hAnsi="Times New Roman"/>
          <w:sz w:val="20"/>
          <w:u w:val="single"/>
        </w:rPr>
        <w:t>Note</w:t>
      </w:r>
      <w:r>
        <w:rPr>
          <w:rFonts w:ascii="Times New Roman" w:hAnsi="Times New Roman"/>
          <w:sz w:val="20"/>
        </w:rPr>
        <w:t xml:space="preserve">” means the 2029 Notes in the form attached as an exhibit to the Supplemental Indenture and each Note delivered in substitution or exchange for such Note. </w:t>
      </w:r>
    </w:p>
    <w:p>
      <w:pPr>
        <w:pStyle w:val="TextBody"/>
        <w:bidi w:val="0"/>
        <w:spacing w:before="240" w:after="0"/>
        <w:jc w:val="left"/>
        <w:rPr/>
      </w:pPr>
      <w:r>
        <w:rPr/>
        <w:t>“</w:t>
      </w:r>
      <w:r>
        <w:rPr>
          <w:rFonts w:ascii="Times New Roman" w:hAnsi="Times New Roman"/>
          <w:sz w:val="20"/>
          <w:u w:val="single"/>
        </w:rPr>
        <w:t>Notes Amount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a corporation (whether or not for profit), a partnership, a limited liability company, a joint venture, an association, a trust, an unincorporated organization, a government or any department or agency thereof (including a Governmental Agency) or any other entity or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Prospectus</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Prospectus Supplement</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Purchaser(s)</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Rating Agency</w:t>
      </w:r>
      <w:r>
        <w:rPr>
          <w:rFonts w:ascii="Times New Roman" w:hAnsi="Times New Roman"/>
          <w:sz w:val="20"/>
        </w:rPr>
        <w:t xml:space="preserve">” means a “nationally recognized statistical rating organization” (as defined in Section 3(a)(62) of the Exchange Act) whose ratings for senior indebtedness of issuers similar to the Company are authorized for use with, and recognized by the Securities Valuation Office of the National Association of Insurance Commissioners. </w:t>
      </w:r>
    </w:p>
    <w:p>
      <w:pPr>
        <w:pStyle w:val="TextBody"/>
        <w:bidi w:val="0"/>
        <w:spacing w:before="240" w:after="0"/>
        <w:jc w:val="left"/>
        <w:rPr/>
      </w:pPr>
      <w:r>
        <w:rPr/>
        <w:t>“</w:t>
      </w:r>
      <w:r>
        <w:rPr>
          <w:rFonts w:ascii="Times New Roman" w:hAnsi="Times New Roman"/>
          <w:sz w:val="20"/>
          <w:u w:val="single"/>
        </w:rPr>
        <w:t>Registration Statement</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Sixth Supplemental Indenture</w:t>
      </w:r>
      <w:r>
        <w:rPr>
          <w:rFonts w:ascii="Times New Roman" w:hAnsi="Times New Roman"/>
          <w:sz w:val="20"/>
        </w:rPr>
        <w:t xml:space="preserve">” means the sixth supplemental indenture, dated as of the date hereof, by and between Company and U.S. Bank Trust Company, National Association (as successor in interest to U.S. Bank National Association), as trustee, substantially in the form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or entity in which a majority of the outstanding Equity Interest is directly or indirectly owned by such Person.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has the meaning set forth in </w:t>
      </w:r>
      <w:r>
        <w:rPr>
          <w:rFonts w:ascii="Times New Roman" w:hAnsi="Times New Roman"/>
          <w:sz w:val="20"/>
          <w:u w:val="single"/>
        </w:rPr>
        <w:t>Section 3.2.1.1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Trustee</w:t>
      </w:r>
      <w:r>
        <w:rPr>
          <w:rFonts w:ascii="Times New Roman" w:hAnsi="Times New Roman"/>
          <w:sz w:val="20"/>
        </w:rPr>
        <w:t xml:space="preserve">” means the trustee or successor in accordance with the applicable provisions of the Indenture.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Interpretations</w:t>
      </w:r>
      <w:r>
        <w:rPr>
          <w:rFonts w:ascii="Times New Roman" w:hAnsi="Times New Roman"/>
          <w:sz w:val="20"/>
        </w:rPr>
        <w:t xml:space="preserve">. The foregoing definitions are equally applicable to both the singular and plural forms of the terms defined. The words “hereof”, “herein” and “hereunder” and words of like import when used in this Agreement shall refer to this Agreement as a whole and not to any particular provision of this Agreement. The word “including” when used in this Agreement without the phrase “without limitation,” shall mean “including, without limitation.” All references to time of day herein are references to Eastern Time unless otherwise specifically provided. All references to this Agreement, the Notes and the Indenture shall be deemed to be to such documents as amended, modified or restated from time to time. With respect to any reference in this Agreement to any defined term, (i) if such defined term refers to a Person, then it shall also mean all heirs, legal representatives and permitted successors and assigns of such Person, and (ii) if such defined term refers to a document, instrument or agreement, then it shall also include any amendment, replacement, extension or other modification thereof.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Exhibits Incorporated</w:t>
      </w:r>
      <w:r>
        <w:rPr>
          <w:rFonts w:ascii="Times New Roman" w:hAnsi="Times New Roman"/>
          <w:sz w:val="20"/>
        </w:rPr>
        <w:t xml:space="preserve">. All Exhibits attached are hereby incorporated into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DEBT.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Certain Terms</w:t>
      </w:r>
      <w:r>
        <w:rPr>
          <w:rFonts w:ascii="Times New Roman" w:hAnsi="Times New Roman"/>
          <w:sz w:val="20"/>
        </w:rPr>
        <w:t>. The offering and sale of the Notes hereunder are being made pursuant to an effective Registration Statement on Form N-2 (File No. 333-283443), filed with the SEC on February 5, 2025, and declared effective on February 10, 2025 (the “</w:t>
      </w:r>
      <w:r>
        <w:rPr>
          <w:rFonts w:ascii="Times New Roman" w:hAnsi="Times New Roman"/>
          <w:sz w:val="20"/>
          <w:u w:val="single"/>
        </w:rPr>
        <w:t>Registration Statement</w:t>
      </w:r>
      <w:r>
        <w:rPr>
          <w:rFonts w:ascii="Times New Roman" w:hAnsi="Times New Roman"/>
          <w:sz w:val="20"/>
        </w:rPr>
        <w:t>”), and the Prospectus therein, dated February 5, 2025, including all documents incorporated by reference therein (the “</w:t>
      </w:r>
      <w:r>
        <w:rPr>
          <w:rFonts w:ascii="Times New Roman" w:hAnsi="Times New Roman"/>
          <w:sz w:val="20"/>
          <w:u w:val="single"/>
        </w:rPr>
        <w:t>Base Prospectus</w:t>
      </w:r>
      <w:r>
        <w:rPr>
          <w:rFonts w:ascii="Times New Roman" w:hAnsi="Times New Roman"/>
          <w:sz w:val="20"/>
        </w:rPr>
        <w:t>”), as supplemented by the Prospectus Supplement, dated the date hereof (the “</w:t>
      </w:r>
      <w:r>
        <w:rPr>
          <w:rFonts w:ascii="Times New Roman" w:hAnsi="Times New Roman"/>
          <w:sz w:val="20"/>
          <w:u w:val="single"/>
        </w:rPr>
        <w:t>Prospectus Supplement</w:t>
      </w:r>
      <w:r>
        <w:rPr>
          <w:rFonts w:ascii="Times New Roman" w:hAnsi="Times New Roman"/>
          <w:sz w:val="20"/>
        </w:rPr>
        <w:t>”, together with the Base Prospectus, the “</w:t>
      </w:r>
      <w:r>
        <w:rPr>
          <w:rFonts w:ascii="Times New Roman" w:hAnsi="Times New Roman"/>
          <w:sz w:val="20"/>
          <w:u w:val="single"/>
        </w:rPr>
        <w:t>Prospectus</w:t>
      </w:r>
      <w:r>
        <w:rPr>
          <w:rFonts w:ascii="Times New Roman" w:hAnsi="Times New Roman"/>
          <w:sz w:val="20"/>
        </w:rPr>
        <w:t xml:space="preserve">”), that will be filed with the Commission on the date hereof. The Company proposes to issue and sell to the Purchasers, severally and not jointly, Notes, which will be issued pursuant to the Indenture, in an aggregate principal amount equal to the aggregate of the Notes Amount. Purchasers, severally and not jointly, each agree to purchase the Notes, which will be issued pursuant to the Indenture, from Company on the Closing Date, in accordance with the terms of, and subject to the conditions and provisions set forth in, this Agreement, the Indenture and the Notes. The Notes Amount shall be disbursed in accordance with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The Closing</w:t>
      </w:r>
      <w:r>
        <w:rPr>
          <w:rFonts w:ascii="Times New Roman" w:hAnsi="Times New Roman"/>
          <w:sz w:val="20"/>
        </w:rPr>
        <w:t>. The execution and delivery of the Transaction Documents (the “</w:t>
      </w:r>
      <w:r>
        <w:rPr>
          <w:rFonts w:ascii="Times New Roman" w:hAnsi="Times New Roman"/>
          <w:sz w:val="20"/>
          <w:u w:val="single"/>
        </w:rPr>
        <w:t>Closing</w:t>
      </w:r>
      <w:r>
        <w:rPr>
          <w:rFonts w:ascii="Times New Roman" w:hAnsi="Times New Roman"/>
          <w:sz w:val="20"/>
        </w:rPr>
        <w:t xml:space="preserve">”) shall occur at the offices of Company at 10:00 a.m. (local time) on the Closing Date, or at such other place or time or on such other date as the parties hereto may agree.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Use of Proceeds</w:t>
      </w:r>
      <w:r>
        <w:rPr>
          <w:rFonts w:ascii="Times New Roman" w:hAnsi="Times New Roman"/>
          <w:b/>
          <w:sz w:val="20"/>
        </w:rPr>
        <w:t>.</w:t>
      </w:r>
      <w:r>
        <w:rPr>
          <w:rFonts w:ascii="Times New Roman" w:hAnsi="Times New Roman"/>
          <w:sz w:val="20"/>
        </w:rPr>
        <w:t xml:space="preserve"> Company shall use $40,000,000 of the net proceeds from the sale of Notes to repay $40,000,000 of the aggregate principal amount of its 5.250% Notes due 2026 (the “</w:t>
      </w:r>
      <w:r>
        <w:rPr>
          <w:rFonts w:ascii="Times New Roman" w:hAnsi="Times New Roman"/>
          <w:sz w:val="20"/>
          <w:u w:val="single"/>
        </w:rPr>
        <w:t>LRFC Notes</w:t>
      </w:r>
      <w:r>
        <w:rPr>
          <w:rFonts w:ascii="Times New Roman" w:hAnsi="Times New Roman"/>
          <w:sz w:val="20"/>
        </w:rPr>
        <w:t xml:space="preserve">”) and the remaining net proceeds to repay other indebtedness. Within 10 days following the Closing Date, the Company shall issue a notice of redemption of at least $40,000,000 in aggregate principal amount of the LRFC Notes under the indenture governing the LRFC Notes, which notice shall provide for a redemption of the LRFC Notes on the earliest date permitted under such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3. </w:t>
      </w:r>
      <w:r>
        <w:rPr>
          <w:rFonts w:ascii="Times New Roman" w:hAnsi="Times New Roman"/>
          <w:b/>
          <w:sz w:val="20"/>
          <w:u w:val="single"/>
        </w:rPr>
        <w:t>DISBURSEMENT.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Disbursement</w:t>
      </w:r>
      <w:r>
        <w:rPr>
          <w:rFonts w:ascii="Times New Roman" w:hAnsi="Times New Roman"/>
          <w:sz w:val="20"/>
        </w:rPr>
        <w:t xml:space="preserve">. On the Closing Date, assuming all of the terms and conditions set forth in </w:t>
      </w:r>
      <w:r>
        <w:rPr>
          <w:rFonts w:ascii="Times New Roman" w:hAnsi="Times New Roman"/>
          <w:sz w:val="20"/>
          <w:u w:val="single"/>
        </w:rPr>
        <w:t>Section 3.2</w:t>
      </w:r>
      <w:r>
        <w:rPr>
          <w:rFonts w:ascii="Times New Roman" w:hAnsi="Times New Roman"/>
          <w:sz w:val="20"/>
        </w:rPr>
        <w:t xml:space="preserve"> have been satisfied by Company and Company has executed and delivered to each of the Purchasers this Agreement and any other related documents in form and substance reasonably satisfactory to Purchasers, each Purchaser shall disburse in immediately available funds 100.00% of the Notes Amount, set forth on such Purchaser’s signature page to Company in exchange for an electronic securities entitlement through the facilities of DTC (defined below) in accordance with the Applicable Procedures in the Note with a principal amount equal to such Note Amount (the “</w:t>
      </w:r>
      <w:r>
        <w:rPr>
          <w:rFonts w:ascii="Times New Roman" w:hAnsi="Times New Roman"/>
          <w:sz w:val="20"/>
          <w:u w:val="single"/>
        </w:rPr>
        <w:t>Disbursement</w:t>
      </w:r>
      <w:r>
        <w:rPr>
          <w:rFonts w:ascii="Times New Roman" w:hAnsi="Times New Roman"/>
          <w:sz w:val="20"/>
        </w:rPr>
        <w:t>”). Company will deliver to the Trustee a global certificate representing the 2029 Notes issued to each Purchaser (each, a “</w:t>
      </w:r>
      <w:r>
        <w:rPr>
          <w:rFonts w:ascii="Times New Roman" w:hAnsi="Times New Roman"/>
          <w:sz w:val="20"/>
          <w:u w:val="single"/>
        </w:rPr>
        <w:t>Global Note</w:t>
      </w:r>
      <w:r>
        <w:rPr>
          <w:rFonts w:ascii="Times New Roman" w:hAnsi="Times New Roman"/>
          <w:sz w:val="20"/>
        </w:rPr>
        <w:t>” and, collectively, the “</w:t>
      </w:r>
      <w:r>
        <w:rPr>
          <w:rFonts w:ascii="Times New Roman" w:hAnsi="Times New Roman"/>
          <w:sz w:val="20"/>
          <w:u w:val="single"/>
        </w:rPr>
        <w:t>Global Notes</w:t>
      </w:r>
      <w:r>
        <w:rPr>
          <w:rFonts w:ascii="Times New Roman" w:hAnsi="Times New Roman"/>
          <w:sz w:val="20"/>
        </w:rPr>
        <w:t xml:space="preserve">”) registered in the name of Cede &amp; Co., as nominee for DTC. </w:t>
      </w:r>
    </w:p>
    <w:p>
      <w:pPr>
        <w:pStyle w:val="TextBody"/>
        <w:bidi w:val="0"/>
        <w:spacing w:before="240" w:after="0"/>
        <w:jc w:val="left"/>
        <w:rPr>
          <w:rFonts w:ascii="Times New Roman" w:hAnsi="Times New Roman"/>
          <w:b/>
          <w:sz w:val="20"/>
        </w:rPr>
      </w:pPr>
      <w:r>
        <w:rPr>
          <w:rFonts w:ascii="Times New Roman" w:hAnsi="Times New Roman"/>
          <w:b/>
          <w:sz w:val="20"/>
        </w:rPr>
        <w:t xml:space="preserve">3.2. </w:t>
      </w:r>
      <w:r>
        <w:rPr>
          <w:rFonts w:ascii="Times New Roman" w:hAnsi="Times New Roman"/>
          <w:b/>
          <w:sz w:val="20"/>
          <w:u w:val="single"/>
        </w:rPr>
        <w:t>Conditions Precedent to Disbursement.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3.2.1.</w:t>
      </w:r>
      <w:r>
        <w:rPr>
          <w:rFonts w:ascii="Times New Roman" w:hAnsi="Times New Roman"/>
          <w:sz w:val="20"/>
        </w:rPr>
        <w:t xml:space="preserve"> </w:t>
      </w:r>
      <w:r>
        <w:rPr>
          <w:rFonts w:ascii="Times New Roman" w:hAnsi="Times New Roman"/>
          <w:b/>
          <w:sz w:val="20"/>
          <w:u w:val="single"/>
        </w:rPr>
        <w:t>Conditions to the Purchasers’ Obligation</w:t>
      </w:r>
      <w:r>
        <w:rPr>
          <w:rFonts w:ascii="Times New Roman" w:hAnsi="Times New Roman"/>
          <w:sz w:val="20"/>
        </w:rPr>
        <w:t xml:space="preserve">. The obligation of each Purchaser to consummate the purchase of the Notes to be purchased by such Purchaser at Closing and to effect the Disbursement is subject to delivery by or at the direction of Company to such Purchaser (or, with respect to the Indenture, the Trustee) each of the following (or written waiver by such Purchaser prior to the Closing of such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3.2.1.1.</w:t>
      </w:r>
      <w:r>
        <w:rPr>
          <w:rFonts w:ascii="Times New Roman" w:hAnsi="Times New Roman"/>
          <w:sz w:val="20"/>
        </w:rPr>
        <w:t xml:space="preserve"> </w:t>
      </w:r>
      <w:r>
        <w:rPr>
          <w:rFonts w:ascii="Times New Roman" w:hAnsi="Times New Roman"/>
          <w:b/>
          <w:sz w:val="20"/>
          <w:u w:val="single"/>
        </w:rPr>
        <w:t>Transaction Documents</w:t>
      </w:r>
      <w:r>
        <w:rPr>
          <w:rFonts w:ascii="Times New Roman" w:hAnsi="Times New Roman"/>
          <w:sz w:val="20"/>
        </w:rPr>
        <w:t>. This Agreement, the Indenture and the Global Notes (collectively, the “</w:t>
      </w:r>
      <w:r>
        <w:rPr>
          <w:rFonts w:ascii="Times New Roman" w:hAnsi="Times New Roman"/>
          <w:sz w:val="20"/>
          <w:u w:val="single"/>
        </w:rPr>
        <w:t>Transaction</w:t>
      </w:r>
      <w:r>
        <w:rPr>
          <w:rFonts w:ascii="Times New Roman" w:hAnsi="Times New Roman"/>
          <w:sz w:val="20"/>
        </w:rPr>
        <w:t xml:space="preserve"> </w:t>
      </w:r>
      <w:r>
        <w:rPr>
          <w:rFonts w:ascii="Times New Roman" w:hAnsi="Times New Roman"/>
          <w:sz w:val="20"/>
          <w:u w:val="single"/>
        </w:rPr>
        <w:t>Documents</w:t>
      </w:r>
      <w:r>
        <w:rPr>
          <w:rFonts w:ascii="Times New Roman" w:hAnsi="Times New Roman"/>
          <w:sz w:val="20"/>
        </w:rPr>
        <w:t xml:space="preserve">”), each duly authorized and executed by Company, and delivery of written instruction to the Trustee (with respect to the Indenture), and the filing of the Prospectus Supplement with the SEC. </w:t>
      </w:r>
    </w:p>
    <w:p>
      <w:pPr>
        <w:pStyle w:val="TextBody"/>
        <w:bidi w:val="0"/>
        <w:spacing w:before="240" w:after="0"/>
        <w:jc w:val="left"/>
        <w:rPr>
          <w:rFonts w:ascii="Times New Roman" w:hAnsi="Times New Roman"/>
          <w:sz w:val="20"/>
        </w:rPr>
      </w:pPr>
      <w:r>
        <w:rPr>
          <w:rFonts w:ascii="Times New Roman" w:hAnsi="Times New Roman"/>
          <w:b/>
          <w:sz w:val="20"/>
        </w:rPr>
        <w:t>3.2.1.2.</w:t>
      </w:r>
      <w:r>
        <w:rPr>
          <w:rFonts w:ascii="Times New Roman" w:hAnsi="Times New Roman"/>
          <w:sz w:val="20"/>
        </w:rPr>
        <w:t xml:space="preserve"> </w:t>
      </w:r>
      <w:r>
        <w:rPr>
          <w:rFonts w:ascii="Times New Roman" w:hAnsi="Times New Roman"/>
          <w:b/>
          <w:sz w:val="20"/>
          <w:u w:val="single"/>
        </w:rPr>
        <w:t>Authority Documents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6"/>
        <w:gridCol w:w="7963"/>
      </w:tblGrid>
      <w:tr>
        <w:trPr/>
        <w:tc>
          <w:tcPr>
            <w:tcW w:w="183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certified by the Secretary of Company, of the Certificate of Incorporation of Company,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good standing of Company issued by the Secretary of State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certified by the Secretary of Company, of the Bylaws, as amended, of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6"/>
        <w:gridCol w:w="7962"/>
      </w:tblGrid>
      <w:tr>
        <w:trPr/>
        <w:tc>
          <w:tcPr>
            <w:tcW w:w="183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(d)</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certified by the Secretary of Company, of the resolutions of the board of directors (and any committee thereof) of Company authorizing the execution, delivery and performance of the Transaction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incumbency certificate of the Secretary of Company certifying the names of the officer or officers of Company authorized to sign the Transaction Documents and the other documents provided for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a responsible officer of Company certifying that the representations and warranties of the Company in this Agreement shall be correct as of the date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(g)</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 of Dechert LLP, counsel to Company, dated as of the Closing Date, substantially in the form set forth at </w:t>
            </w:r>
            <w:r>
              <w:rPr>
                <w:rFonts w:ascii="Times New Roman" w:hAnsi="Times New Roman"/>
                <w:sz w:val="20"/>
                <w:u w:val="single"/>
              </w:rPr>
              <w:t>Exhibit C</w:t>
            </w:r>
            <w:r>
              <w:rPr>
                <w:rFonts w:ascii="Times New Roman" w:hAnsi="Times New Roman"/>
                <w:sz w:val="20"/>
              </w:rPr>
              <w:t xml:space="preserve"> attached hereto addressed to the Purchasers;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Global Notes shall have received a rating from a credit rating agency currently registered as a “nationally recognized statistical rating organization” (as defined in Section 3(a)(62) of the Exchange Act). </w:t>
            </w:r>
          </w:p>
        </w:tc>
      </w:tr>
    </w:tbl>
    <w:p>
      <w:pPr>
        <w:pStyle w:val="TextBody"/>
        <w:bidi w:val="0"/>
        <w:spacing w:before="240" w:after="0"/>
        <w:jc w:val="left"/>
        <w:rPr>
          <w:rFonts w:ascii="Times New Roman" w:hAnsi="Times New Roman"/>
          <w:sz w:val="20"/>
        </w:rPr>
      </w:pPr>
      <w:r>
        <w:rPr>
          <w:rFonts w:ascii="Times New Roman" w:hAnsi="Times New Roman"/>
          <w:b/>
          <w:sz w:val="20"/>
        </w:rPr>
        <w:t>3.2.1.3.</w:t>
      </w:r>
      <w:r>
        <w:rPr>
          <w:rFonts w:ascii="Times New Roman" w:hAnsi="Times New Roman"/>
          <w:sz w:val="20"/>
        </w:rPr>
        <w:t xml:space="preserve"> </w:t>
      </w:r>
      <w:r>
        <w:rPr>
          <w:rFonts w:ascii="Times New Roman" w:hAnsi="Times New Roman"/>
          <w:b/>
          <w:sz w:val="20"/>
          <w:u w:val="single"/>
        </w:rPr>
        <w:t>Other Requirements</w:t>
      </w:r>
      <w:r>
        <w:rPr>
          <w:rFonts w:ascii="Times New Roman" w:hAnsi="Times New Roman"/>
          <w:sz w:val="20"/>
        </w:rPr>
        <w:t xml:space="preserve">. Such other certificates, affidavits, schedules, resolutions, notes and/or other documents which are provided for hereunder or as a Purchaser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3.2.2.</w:t>
      </w:r>
      <w:r>
        <w:rPr>
          <w:rFonts w:ascii="Times New Roman" w:hAnsi="Times New Roman"/>
          <w:sz w:val="20"/>
        </w:rPr>
        <w:t xml:space="preserve"> </w:t>
      </w:r>
      <w:r>
        <w:rPr>
          <w:rFonts w:ascii="Times New Roman" w:hAnsi="Times New Roman"/>
          <w:b/>
          <w:sz w:val="20"/>
          <w:u w:val="single"/>
        </w:rPr>
        <w:t>Conditions to Company’s Obligation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3.2.2.1.</w:t>
      </w:r>
      <w:r>
        <w:rPr>
          <w:rFonts w:ascii="Times New Roman" w:hAnsi="Times New Roman"/>
          <w:sz w:val="20"/>
        </w:rPr>
        <w:t xml:space="preserve"> The obligation of Company to consummate the sale of the Notes and to effect the Closing is subject to: (i) with respect to a given Purchaser, delivery by or at the direction of such Purchaser to Company (or written waiver by Company prior to the Closing of such delivery) of this Agreement as duly authorized and executed by such Purchaser; (ii) with respect to a given Purchaser, Company’s receipt of 100.00% of the Notes Amount set forth on such Purchaser’s signature page; and (iii) Company’s receipt of the Indenture, duly authorized and executed by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4. </w:t>
      </w:r>
      <w:r>
        <w:rPr>
          <w:rFonts w:ascii="Times New Roman" w:hAnsi="Times New Roman"/>
          <w:b/>
          <w:sz w:val="20"/>
          <w:u w:val="single"/>
        </w:rPr>
        <w:t>REPRESENTATIONS AND WARRANTIES OF COMPANY.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Company hereby represents and warrants to each Purchaser as of the date hereof and as of the Closing as follows: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Organization and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4.1.1.</w:t>
      </w:r>
      <w:r>
        <w:rPr>
          <w:rFonts w:ascii="Times New Roman" w:hAnsi="Times New Roman"/>
          <w:sz w:val="20"/>
        </w:rPr>
        <w:t xml:space="preserve"> </w:t>
      </w:r>
      <w:r>
        <w:rPr>
          <w:rFonts w:ascii="Times New Roman" w:hAnsi="Times New Roman"/>
          <w:b/>
          <w:sz w:val="20"/>
          <w:u w:val="single"/>
        </w:rPr>
        <w:t>Organization Matters of Company and Its Subsidiaries</w:t>
      </w:r>
      <w:r>
        <w:rPr>
          <w:rFonts w:ascii="Times New Roman" w:hAnsi="Times New Roman"/>
          <w:sz w:val="20"/>
        </w:rPr>
        <w:t xml:space="preserve">. Company is validly existing and in good standing under the laws of the State of Delaware and has all requisite corporate power and authority to conduct its business and activities as presently conducted, to own its properties, and to perform its obligations as described in the Registration Statement and under Transaction Documents.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 on Company. </w:t>
      </w:r>
    </w:p>
    <w:p>
      <w:pPr>
        <w:pStyle w:val="TextBody"/>
        <w:bidi w:val="0"/>
        <w:spacing w:before="240" w:after="0"/>
        <w:jc w:val="left"/>
        <w:rPr>
          <w:rFonts w:ascii="Times New Roman" w:hAnsi="Times New Roman"/>
          <w:sz w:val="20"/>
        </w:rPr>
      </w:pPr>
      <w:r>
        <w:rPr>
          <w:rFonts w:ascii="Times New Roman" w:hAnsi="Times New Roman"/>
          <w:b/>
          <w:sz w:val="20"/>
        </w:rPr>
        <w:t>4.1.2.</w:t>
      </w:r>
      <w:r>
        <w:rPr>
          <w:rFonts w:ascii="Times New Roman" w:hAnsi="Times New Roman"/>
          <w:sz w:val="20"/>
        </w:rPr>
        <w:t xml:space="preserve"> </w:t>
      </w:r>
      <w:r>
        <w:rPr>
          <w:rFonts w:ascii="Times New Roman" w:hAnsi="Times New Roman"/>
          <w:b/>
          <w:sz w:val="20"/>
          <w:u w:val="single"/>
        </w:rPr>
        <w:t>Capital Stock and Related Matters</w:t>
      </w:r>
      <w:r>
        <w:rPr>
          <w:rFonts w:ascii="Times New Roman" w:hAnsi="Times New Roman"/>
          <w:sz w:val="20"/>
        </w:rPr>
        <w:t>. All of the outstanding capital stock of the Company has been duly authorized and validly issued and is fully paid and nonassessable. Except as disclosed in the Company’s Reports with respect to the Company’s 5.25% fixed-rate convertible notes due April 1, 2032 (the “</w:t>
      </w:r>
      <w:r>
        <w:rPr>
          <w:rFonts w:ascii="Times New Roman" w:hAnsi="Times New Roman"/>
          <w:sz w:val="20"/>
          <w:u w:val="single"/>
        </w:rPr>
        <w:t>2032 Convertible Notes</w:t>
      </w:r>
      <w:r>
        <w:rPr>
          <w:rFonts w:ascii="Times New Roman" w:hAnsi="Times New Roman"/>
          <w:sz w:val="20"/>
        </w:rPr>
        <w:t xml:space="preserve">”), there are, as of the date hereof, no outstanding options, rights, warrants or other agreements or instruments obligating Company to issue, deliver or sell, or cause to be issued, delivered or sold, additional shares of the capital stock of Company or obligating Company to grant, extend or enter into any such agreement or commitment to any Person.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No Impediment to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4.2.1.</w:t>
      </w:r>
      <w:r>
        <w:rPr>
          <w:rFonts w:ascii="Times New Roman" w:hAnsi="Times New Roman"/>
          <w:sz w:val="20"/>
        </w:rPr>
        <w:t xml:space="preserve"> </w:t>
      </w:r>
      <w:r>
        <w:rPr>
          <w:rFonts w:ascii="Times New Roman" w:hAnsi="Times New Roman"/>
          <w:b/>
          <w:sz w:val="20"/>
          <w:u w:val="single"/>
        </w:rPr>
        <w:t>Transaction is Legal and Authorized</w:t>
      </w:r>
      <w:r>
        <w:rPr>
          <w:rFonts w:ascii="Times New Roman" w:hAnsi="Times New Roman"/>
          <w:sz w:val="20"/>
        </w:rPr>
        <w:t xml:space="preserve">. The issuance of the Notes pursuant to the Indenture, the borrowing of the aggregate of the Notes Amount, the execution of the Transaction Documents and compliance by Company with all of the provisions of the Transaction Documents are within the corporate and other powers of Company. </w:t>
      </w:r>
    </w:p>
    <w:p>
      <w:pPr>
        <w:pStyle w:val="TextBody"/>
        <w:bidi w:val="0"/>
        <w:spacing w:before="240" w:after="0"/>
        <w:jc w:val="left"/>
        <w:rPr>
          <w:rFonts w:ascii="Times New Roman" w:hAnsi="Times New Roman"/>
          <w:sz w:val="20"/>
        </w:rPr>
      </w:pPr>
      <w:r>
        <w:rPr>
          <w:rFonts w:ascii="Times New Roman" w:hAnsi="Times New Roman"/>
          <w:b/>
          <w:sz w:val="20"/>
        </w:rPr>
        <w:t>4.2.2.</w:t>
      </w:r>
      <w:r>
        <w:rPr>
          <w:rFonts w:ascii="Times New Roman" w:hAnsi="Times New Roman"/>
          <w:sz w:val="20"/>
        </w:rPr>
        <w:t xml:space="preserve"> </w:t>
      </w:r>
      <w:r>
        <w:rPr>
          <w:rFonts w:ascii="Times New Roman" w:hAnsi="Times New Roman"/>
          <w:b/>
          <w:sz w:val="20"/>
          <w:u w:val="single"/>
        </w:rPr>
        <w:t>Agreement and Indenture</w:t>
      </w:r>
      <w:r>
        <w:rPr>
          <w:rFonts w:ascii="Times New Roman" w:hAnsi="Times New Roman"/>
          <w:sz w:val="20"/>
        </w:rPr>
        <w:t xml:space="preserve">. This Agreement and the Indenture have been duly authorized, executed and delivered by Company, and, assuming due authorization, execution and delivery by the other parties thereto, including the Trustee for purposes of the Indenture, are the legal, valid and binding obligations of Company, enforceable in accordance with their terms, except as enforcement thereof may be limited by bankruptcy, insolvency, reorganization, moratorium or other similar laws relating to or affecting creditors’ rights generally or by general equitable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4.2.3.</w:t>
      </w:r>
      <w:r>
        <w:rPr>
          <w:rFonts w:ascii="Times New Roman" w:hAnsi="Times New Roman"/>
          <w:sz w:val="20"/>
        </w:rPr>
        <w:t xml:space="preserve"> </w:t>
      </w:r>
      <w:r>
        <w:rPr>
          <w:rFonts w:ascii="Times New Roman" w:hAnsi="Times New Roman"/>
          <w:b/>
          <w:sz w:val="20"/>
          <w:u w:val="single"/>
        </w:rPr>
        <w:t>Notes</w:t>
      </w:r>
      <w:r>
        <w:rPr>
          <w:rFonts w:ascii="Times New Roman" w:hAnsi="Times New Roman"/>
          <w:sz w:val="20"/>
        </w:rPr>
        <w:t xml:space="preserve">. The Notes have been duly authorized by Company and when executed by Company and completed and authenticated by the Trustee in accordance with, and in the form contemplated by, the Indenture and issued, delivered to and paid for as provided in this Agreement, will have been duly issued under the Indenture and will constitute legal, valid and binding obligations of Company, entitled to the benefits of the Indenture, and enforceable in accordance with their terms, except as enforcement thereof may be limited by bankruptcy, insolvency, reorganization, moratorium or other similar laws relating to or affecting creditors’ rights generally or by general equitable principles. When executed and delivered, the Notes will be substantially in the form attached as an exhibit to the Sixth Supplemental Indenture. </w:t>
      </w:r>
    </w:p>
    <w:p>
      <w:pPr>
        <w:pStyle w:val="TextBody"/>
        <w:bidi w:val="0"/>
        <w:spacing w:before="240" w:after="0"/>
        <w:jc w:val="left"/>
        <w:rPr>
          <w:rFonts w:ascii="Times New Roman" w:hAnsi="Times New Roman"/>
          <w:sz w:val="20"/>
        </w:rPr>
      </w:pPr>
      <w:r>
        <w:rPr>
          <w:rFonts w:ascii="Times New Roman" w:hAnsi="Times New Roman"/>
          <w:b/>
          <w:sz w:val="20"/>
        </w:rPr>
        <w:t>4.2.4.</w:t>
      </w:r>
      <w:r>
        <w:rPr>
          <w:rFonts w:ascii="Times New Roman" w:hAnsi="Times New Roman"/>
          <w:sz w:val="20"/>
        </w:rPr>
        <w:t xml:space="preserve"> </w:t>
      </w:r>
      <w:r>
        <w:rPr>
          <w:rFonts w:ascii="Times New Roman" w:hAnsi="Times New Roman"/>
          <w:b/>
          <w:sz w:val="20"/>
          <w:u w:val="single"/>
        </w:rPr>
        <w:t>No Defaults or Restrictions</w:t>
      </w:r>
      <w:r>
        <w:rPr>
          <w:rFonts w:ascii="Times New Roman" w:hAnsi="Times New Roman"/>
          <w:sz w:val="20"/>
        </w:rPr>
        <w:t xml:space="preserve">. Neither the execution and delivery of the Transaction Documents nor compliance with their respective terms and conditions will (whether with or without the giving of notice or lapse of time or both) (i) violate, conflict with or result in a breach of, or constitute a default under: (1) the Certificate of Incorporation or Bylaws of Company; (2) any of the terms, obligations, covenants, conditions or provisions of any corporate restriction or of any contract, agreement, indenture, mortgage, deed of trust, pledge, bank loan or credit agreement, or any other agreement or instrument to which the Company is now a party or by which it or any of its properties may be bound or affected; (3) any judgment, order, writ, injunction, decree or demand of any court, arbitrator, grand jury, or Governmental Agency applicable to the Company; or (4) any statute, rule or regulation applicable to Company, </w:t>
      </w:r>
      <w:r>
        <w:rPr>
          <w:rFonts w:ascii="Times New Roman" w:hAnsi="Times New Roman"/>
          <w:i/>
          <w:sz w:val="20"/>
        </w:rPr>
        <w:t>except</w:t>
      </w:r>
      <w:r>
        <w:rPr>
          <w:rFonts w:ascii="Times New Roman" w:hAnsi="Times New Roman"/>
          <w:sz w:val="20"/>
        </w:rPr>
        <w:t xml:space="preserve">, in the case of items (2), (3) or (4), for such violations and conflicts that would not reasonably be expected to have, singularly or in the aggregate, a Material Adverse Effect on Company, or (ii) result in the creation or imposition of any lien, charge or encumbrance of any nature whatsoever upon any property or asset of Company. The Company is not in default in the performance, observance or fulfillment of any of the terms, obligations, covenants, conditions or provisions contained in any indenture or other agreement creating, evidencing or securing Indebtedness of any kind or pursuant to which any such Indebtedness is issued, or any other agreement or instrument to which Company, is a party or by which Company, or any of its properties may be bound or affected, except, in each case, only such defaults that would not reasonably be expected to have, singularly or in the aggregate, a Material Adverse Effect on Company. </w:t>
      </w:r>
    </w:p>
    <w:p>
      <w:pPr>
        <w:pStyle w:val="TextBody"/>
        <w:bidi w:val="0"/>
        <w:spacing w:before="240" w:after="0"/>
        <w:jc w:val="left"/>
        <w:rPr>
          <w:rFonts w:ascii="Times New Roman" w:hAnsi="Times New Roman"/>
          <w:sz w:val="20"/>
        </w:rPr>
      </w:pPr>
      <w:r>
        <w:rPr>
          <w:rFonts w:ascii="Times New Roman" w:hAnsi="Times New Roman"/>
          <w:b/>
          <w:sz w:val="20"/>
        </w:rPr>
        <w:t>4.2.5.</w:t>
      </w:r>
      <w:r>
        <w:rPr>
          <w:rFonts w:ascii="Times New Roman" w:hAnsi="Times New Roman"/>
          <w:sz w:val="20"/>
        </w:rPr>
        <w:t xml:space="preserve"> </w:t>
      </w:r>
      <w:r>
        <w:rPr>
          <w:rFonts w:ascii="Times New Roman" w:hAnsi="Times New Roman"/>
          <w:b/>
          <w:sz w:val="20"/>
          <w:u w:val="single"/>
        </w:rPr>
        <w:t>Governmental Consent</w:t>
      </w:r>
      <w:r>
        <w:rPr>
          <w:rFonts w:ascii="Times New Roman" w:hAnsi="Times New Roman"/>
          <w:sz w:val="20"/>
        </w:rPr>
        <w:t xml:space="preserve">. No governmental orders, permissions, consents, approvals or authorizations are required to be obtained by Company that have not been obtained, and no registrations or declarations are required to be filed by Company that have not been filed in connection with, or, in contemplation of, the execution and delivery of, and performance under, the Transaction Documents, except for applicable requirements, if any, of the Securities Act or the Exchange Act.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Possession of Licenses and Permits</w:t>
      </w:r>
      <w:r>
        <w:rPr>
          <w:rFonts w:ascii="Times New Roman" w:hAnsi="Times New Roman"/>
          <w:sz w:val="20"/>
        </w:rPr>
        <w:t>. Company possesses such permits, licenses, approvals, consents and other authorizations (collectively, “</w:t>
      </w:r>
      <w:r>
        <w:rPr>
          <w:rFonts w:ascii="Times New Roman" w:hAnsi="Times New Roman"/>
          <w:sz w:val="20"/>
          <w:u w:val="single"/>
        </w:rPr>
        <w:t>Governmental Licenses</w:t>
      </w:r>
      <w:r>
        <w:rPr>
          <w:rFonts w:ascii="Times New Roman" w:hAnsi="Times New Roman"/>
          <w:sz w:val="20"/>
        </w:rPr>
        <w:t xml:space="preserve">”) issued by the appropriate Governmental Agencies necessary to conduct the business now operated by it, except where the failure to possess such Governmental Licenses would not, singularly or in the aggregate, have a Material Adverse Effect on Company; Company is in compliance with the terms and conditions of all such Governmental Licenses, except where the failure so to comply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would not, individually or in the aggregate, have a Material Adverse Effect on Company; all of the Governmental Licenses are valid and in full force and effect, except where the invalidity of such Governmental Licenses or the failure of such Governmental Licenses to be in full force and effect would not have a Material Adverse Effect on Company; and the Company has not received any notice of proceedings relating to the revocation or modification of any such Governmental Licenses. </w:t>
      </w:r>
    </w:p>
    <w:p>
      <w:pPr>
        <w:pStyle w:val="TextBody"/>
        <w:bidi w:val="0"/>
        <w:spacing w:before="24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w:t>
      </w:r>
      <w:r>
        <w:rPr>
          <w:rFonts w:ascii="Times New Roman" w:hAnsi="Times New Roman"/>
          <w:b/>
          <w:sz w:val="20"/>
          <w:u w:val="single"/>
        </w:rPr>
        <w:t>Financial Condition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4.4.1.</w:t>
      </w:r>
      <w:r>
        <w:rPr>
          <w:rFonts w:ascii="Times New Roman" w:hAnsi="Times New Roman"/>
          <w:sz w:val="20"/>
        </w:rPr>
        <w:t xml:space="preserve"> </w:t>
      </w:r>
      <w:r>
        <w:rPr>
          <w:rFonts w:ascii="Times New Roman" w:hAnsi="Times New Roman"/>
          <w:b/>
          <w:sz w:val="20"/>
          <w:u w:val="single"/>
        </w:rPr>
        <w:t>Company Financial Statements.</w:t>
      </w:r>
      <w:r>
        <w:rPr>
          <w:rFonts w:ascii="Times New Roman" w:hAnsi="Times New Roman"/>
          <w:sz w:val="20"/>
        </w:rPr>
        <w:t xml:space="preserve"> The financial statements of Company included in Company’s Reports (including the related notes, where applicable) (i) have been prepared from, and are in accordance with, the books and records of Company; (ii) fairly present in all material respects the results of operations, cash flows, changes in stockholders’ equity and financial position of Company and its consolidated Subsidiaries, for the respective fiscal periods or as of the respective dates therein set forth (subject in the case of unaudited statements to recurring year-end audit adjustments normal in nature and amount), as applicable; (iii) complied as to form, as of their respective dates of filing in all material respects with applicable SEC rules with respect thereto; and (iv) have been prepared in accordance with GAAP consistently applied during the periods involved, except, in each case, (x) as indicated in such statements or in the notes thereto, (y) for any statement therein or omission therefrom that was corrected, amended, or supplemented or otherwise disclosed or updated in a subsequent Company’s Report, and (z) to the extent that any unaudited interim financial statements do not contain the footnotes required by GAAP, and were or are subject to normal and recurring year-end adjustments, which were not or are not expected to be material in amount, either individually or in the aggregate. The books and records of Company have been, and are being, maintained in all material respects in accordance with GAAP and any other applicable legal and accounting requirements. Company does not have any material liability of any nature whatsoever (whether absolute, accrued, contingent (including any off-balance sheet obligations) or otherwise and whether due or to become due), except for those liabilities that are reflected or reserved against on the consolidated balance sheet of Company contained in Company’s Reports for Company’s most recently completed quarterly or annual fiscal period, as applicable, and for liabilities incurred in the ordinary course of business consistent with past practice or in connection with this Agreement and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4.4.2.</w:t>
      </w:r>
      <w:r>
        <w:rPr>
          <w:rFonts w:ascii="Times New Roman" w:hAnsi="Times New Roman"/>
          <w:sz w:val="20"/>
        </w:rPr>
        <w:t xml:space="preserve"> </w:t>
      </w:r>
      <w:r>
        <w:rPr>
          <w:rFonts w:ascii="Times New Roman" w:hAnsi="Times New Roman"/>
          <w:b/>
          <w:sz w:val="20"/>
          <w:u w:val="single"/>
        </w:rPr>
        <w:t>Absence of Default</w:t>
      </w:r>
      <w:r>
        <w:rPr>
          <w:rFonts w:ascii="Times New Roman" w:hAnsi="Times New Roman"/>
          <w:sz w:val="20"/>
        </w:rPr>
        <w:t xml:space="preserve">. Since the date of the latest audited financial statements included in Company’s Reports, no event has occurred which either of itself or with the lapse of time or the giving of notice or both, would give any creditor of Company the right to accelerate the maturity of any material Indebtedness of Company. Company is not in default under any agreement or instrument, or any law, rule, regulation, order, writ, injunction, decree, determination or award, non-compliance with which could reasonably be expected to result in a Material Adverse Effect on Company. </w:t>
      </w:r>
    </w:p>
    <w:p>
      <w:pPr>
        <w:pStyle w:val="TextBody"/>
        <w:bidi w:val="0"/>
        <w:spacing w:before="240" w:after="0"/>
        <w:jc w:val="left"/>
        <w:rPr>
          <w:rFonts w:ascii="Times New Roman" w:hAnsi="Times New Roman"/>
          <w:sz w:val="20"/>
        </w:rPr>
      </w:pPr>
      <w:r>
        <w:rPr>
          <w:rFonts w:ascii="Times New Roman" w:hAnsi="Times New Roman"/>
          <w:b/>
          <w:sz w:val="20"/>
        </w:rPr>
        <w:t>4.4.3.</w:t>
      </w:r>
      <w:r>
        <w:rPr>
          <w:rFonts w:ascii="Times New Roman" w:hAnsi="Times New Roman"/>
          <w:sz w:val="20"/>
        </w:rPr>
        <w:t xml:space="preserve"> </w:t>
      </w:r>
      <w:r>
        <w:rPr>
          <w:rFonts w:ascii="Times New Roman" w:hAnsi="Times New Roman"/>
          <w:b/>
          <w:sz w:val="20"/>
          <w:u w:val="single"/>
        </w:rPr>
        <w:t>Solvency</w:t>
      </w:r>
      <w:r>
        <w:rPr>
          <w:rFonts w:ascii="Times New Roman" w:hAnsi="Times New Roman"/>
          <w:sz w:val="20"/>
        </w:rPr>
        <w:t xml:space="preserve">. After giving effect to the consummation of the transactions contemplated by this Agreement, Company has capital sufficient to carry on its business and transactions and is solvent and able to pay its debts as they mature. No transfer of property is being made and no Indebtedness is being incurred in connection with the transactions contemplated by this Agreement with the intent to hinder, delay or defraud either present or future creditors of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4.5.</w:t>
      </w:r>
      <w:r>
        <w:rPr>
          <w:rFonts w:ascii="Times New Roman" w:hAnsi="Times New Roman"/>
          <w:sz w:val="20"/>
        </w:rPr>
        <w:t xml:space="preserve"> </w:t>
      </w:r>
      <w:r>
        <w:rPr>
          <w:rFonts w:ascii="Times New Roman" w:hAnsi="Times New Roman"/>
          <w:b/>
          <w:sz w:val="20"/>
          <w:u w:val="single"/>
        </w:rPr>
        <w:t>No Material Adverse Change</w:t>
      </w:r>
      <w:r>
        <w:rPr>
          <w:rFonts w:ascii="Times New Roman" w:hAnsi="Times New Roman"/>
          <w:sz w:val="20"/>
        </w:rPr>
        <w:t xml:space="preserve">. Since the date of the latest audited financial statements included in Company’s Reports, there has been no development or event which has had or could reasonably be expected to have a Material Adverse Effect on Company. </w:t>
      </w:r>
    </w:p>
    <w:p>
      <w:pPr>
        <w:pStyle w:val="TextBody"/>
        <w:bidi w:val="0"/>
        <w:spacing w:before="240" w:after="0"/>
        <w:jc w:val="left"/>
        <w:rPr>
          <w:rFonts w:ascii="Times New Roman" w:hAnsi="Times New Roman"/>
          <w:sz w:val="20"/>
        </w:rPr>
      </w:pPr>
      <w:r>
        <w:rPr>
          <w:rFonts w:ascii="Times New Roman" w:hAnsi="Times New Roman"/>
          <w:b/>
          <w:sz w:val="20"/>
        </w:rPr>
        <w:t>4.6.</w:t>
      </w:r>
      <w:r>
        <w:rPr>
          <w:rFonts w:ascii="Times New Roman" w:hAnsi="Times New Roman"/>
          <w:sz w:val="20"/>
        </w:rPr>
        <w:t xml:space="preserve"> </w:t>
      </w:r>
      <w:r>
        <w:rPr>
          <w:rFonts w:ascii="Times New Roman" w:hAnsi="Times New Roman"/>
          <w:b/>
          <w:sz w:val="20"/>
          <w:u w:val="single"/>
        </w:rPr>
        <w:t>Legal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4.6.1.</w:t>
      </w:r>
      <w:r>
        <w:rPr>
          <w:rFonts w:ascii="Times New Roman" w:hAnsi="Times New Roman"/>
          <w:sz w:val="20"/>
        </w:rPr>
        <w:t xml:space="preserve"> </w:t>
      </w:r>
      <w:r>
        <w:rPr>
          <w:rFonts w:ascii="Times New Roman" w:hAnsi="Times New Roman"/>
          <w:b/>
          <w:sz w:val="20"/>
          <w:u w:val="single"/>
        </w:rPr>
        <w:t>Compliance with Law</w:t>
      </w:r>
      <w:r>
        <w:rPr>
          <w:rFonts w:ascii="Times New Roman" w:hAnsi="Times New Roman"/>
          <w:sz w:val="20"/>
        </w:rPr>
        <w:t xml:space="preserve">. Company has complied with, and is not under investigation with respect to, and, to Company’s knowledge, has not been threatened to be charged with or given any notice of any material violation of any applicable statutes, rules, regulations, orders and restrictions of any domestic or foreign government, or any Governmental Agency, having jurisdiction over the conduct of its business or the ownership of its properties, except where any such failure to comply or violation would not have a Material Adverse Effect on Company. </w:t>
      </w:r>
    </w:p>
    <w:p>
      <w:pPr>
        <w:pStyle w:val="TextBody"/>
        <w:bidi w:val="0"/>
        <w:spacing w:before="240" w:after="0"/>
        <w:jc w:val="left"/>
        <w:rPr>
          <w:rFonts w:ascii="Times New Roman" w:hAnsi="Times New Roman"/>
          <w:sz w:val="20"/>
        </w:rPr>
      </w:pPr>
      <w:r>
        <w:rPr>
          <w:rFonts w:ascii="Times New Roman" w:hAnsi="Times New Roman"/>
          <w:b/>
          <w:sz w:val="20"/>
        </w:rPr>
        <w:t>4.6.2.</w:t>
      </w:r>
      <w:r>
        <w:rPr>
          <w:rFonts w:ascii="Times New Roman" w:hAnsi="Times New Roman"/>
          <w:sz w:val="20"/>
        </w:rPr>
        <w:t xml:space="preserve"> </w:t>
      </w:r>
      <w:r>
        <w:rPr>
          <w:rFonts w:ascii="Times New Roman" w:hAnsi="Times New Roman"/>
          <w:b/>
          <w:sz w:val="20"/>
          <w:u w:val="single"/>
        </w:rPr>
        <w:t>Pending Litigation</w:t>
      </w:r>
      <w:r>
        <w:rPr>
          <w:rFonts w:ascii="Times New Roman" w:hAnsi="Times New Roman"/>
          <w:sz w:val="20"/>
        </w:rPr>
        <w:t xml:space="preserve">. There are no actions, suits, proceedings or written agreements pending, or, to Company’s knowledge, threatened or proposed, against Company, at law or in equity or before or by any Governmental Agency that, either separately or in the aggregate, would reasonably be expected to have a Material Adverse Effect on Company or affect the issuance or payment of the Notes; and the Company is not a party to or named as subject to the provisions of any order, writ, injunction, or decree of, or any written agreement with, any Governmental Agency that, either separately or in the aggregate, will have a Material Adverse Effect on Company. </w:t>
      </w:r>
    </w:p>
    <w:p>
      <w:pPr>
        <w:pStyle w:val="TextBody"/>
        <w:bidi w:val="0"/>
        <w:spacing w:before="240" w:after="0"/>
        <w:jc w:val="left"/>
        <w:rPr>
          <w:rFonts w:ascii="Times New Roman" w:hAnsi="Times New Roman"/>
          <w:sz w:val="20"/>
        </w:rPr>
      </w:pPr>
      <w:r>
        <w:rPr>
          <w:rFonts w:ascii="Times New Roman" w:hAnsi="Times New Roman"/>
          <w:b/>
          <w:sz w:val="20"/>
        </w:rPr>
        <w:t>4.7.</w:t>
      </w:r>
      <w:r>
        <w:rPr>
          <w:rFonts w:ascii="Times New Roman" w:hAnsi="Times New Roman"/>
          <w:sz w:val="20"/>
        </w:rPr>
        <w:t xml:space="preserve"> </w:t>
      </w:r>
      <w:r>
        <w:rPr>
          <w:rFonts w:ascii="Times New Roman" w:hAnsi="Times New Roman"/>
          <w:b/>
          <w:sz w:val="20"/>
          <w:u w:val="single"/>
        </w:rPr>
        <w:t>No Misstatement</w:t>
      </w:r>
      <w:r>
        <w:rPr>
          <w:rFonts w:ascii="Times New Roman" w:hAnsi="Times New Roman"/>
          <w:sz w:val="20"/>
        </w:rPr>
        <w:t xml:space="preserve">. None of the representations, warranties, covenants or agreements made in the Transaction Documents (including any exhibits or schedules thereto and any certificates delivered to the Purchasers in connection therewith) contains any untrue statement of a material fact, or omits to state a material fact necessary to make the statements contained therein not misleading in light of the circumstances when made or furnished to Purchasers, except for any statement therein or omission therefrom which was corrected, amended or supplemented or otherwise disclosed or updated in a subsequent exhibit, report, schedule or document prior to the date hereof. The Registration Statement, as of its most recent effective date and as of the Closing Date, and the Prospectus, as of the date thereof and the Closing Date, did not and do not include any untrue statement of a material fact or omit to state a material fact necessary to make the statements therein, in light of the circumstances under which they were or are made, not misleading. </w:t>
      </w:r>
    </w:p>
    <w:p>
      <w:pPr>
        <w:pStyle w:val="TextBody"/>
        <w:bidi w:val="0"/>
        <w:spacing w:before="240" w:after="0"/>
        <w:jc w:val="left"/>
        <w:rPr>
          <w:rFonts w:ascii="Times New Roman" w:hAnsi="Times New Roman"/>
          <w:sz w:val="20"/>
        </w:rPr>
      </w:pPr>
      <w:r>
        <w:rPr>
          <w:rFonts w:ascii="Times New Roman" w:hAnsi="Times New Roman"/>
          <w:b/>
          <w:sz w:val="20"/>
        </w:rPr>
        <w:t>4.8.</w:t>
      </w:r>
      <w:r>
        <w:rPr>
          <w:rFonts w:ascii="Times New Roman" w:hAnsi="Times New Roman"/>
          <w:sz w:val="20"/>
        </w:rPr>
        <w:t xml:space="preserve"> </w:t>
      </w:r>
      <w:r>
        <w:rPr>
          <w:rFonts w:ascii="Times New Roman" w:hAnsi="Times New Roman"/>
          <w:b/>
          <w:sz w:val="20"/>
          <w:u w:val="single"/>
        </w:rPr>
        <w:t>Reporting Compliance</w:t>
      </w:r>
      <w:r>
        <w:rPr>
          <w:rFonts w:ascii="Times New Roman" w:hAnsi="Times New Roman"/>
          <w:sz w:val="20"/>
        </w:rPr>
        <w:t xml:space="preserve">. Company is subject to, and is in compliance in all material respects with, the reporting requirements of Section 13 and Section 15(d), as applicable, of the Exchange Act. The Company’s Reports at the time they were or hereafter are filed with the SEC, complied and will comply in all material respects with the requirements of the Exchange Act and did not and will not include any untrue statement of a material fact or omit to state a material fact necessary to make the statements therein, in light of the circumstances under which they were or are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4.9.</w:t>
      </w:r>
      <w:r>
        <w:rPr>
          <w:rFonts w:ascii="Times New Roman" w:hAnsi="Times New Roman"/>
          <w:sz w:val="20"/>
        </w:rPr>
        <w:t xml:space="preserve"> </w:t>
      </w:r>
      <w:r>
        <w:rPr>
          <w:rFonts w:ascii="Times New Roman" w:hAnsi="Times New Roman"/>
          <w:b/>
          <w:sz w:val="20"/>
          <w:u w:val="single"/>
        </w:rPr>
        <w:t>Internal Control Over Financial Reporting</w:t>
      </w:r>
      <w:r>
        <w:rPr>
          <w:rFonts w:ascii="Times New Roman" w:hAnsi="Times New Roman"/>
          <w:sz w:val="20"/>
        </w:rPr>
        <w:t xml:space="preserve">. Company maintains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a system of accounting controls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Company’s most recent audited fiscal year, (y) Company has no knowledge of (i) any material weakness in Company’s internal control over financial reporting (whether or not remediated) or (ii) any fraud, whether or not material, that involves management or other employees who have a significant role in Company’s internal controls and (z) there has been no change in Company’s internal control over financial reporting that has materially affected, or is reasonably likely to materially affect,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b/>
          <w:sz w:val="20"/>
        </w:rPr>
        <w:t>4.10.</w:t>
      </w:r>
      <w:r>
        <w:rPr>
          <w:rFonts w:ascii="Times New Roman" w:hAnsi="Times New Roman"/>
          <w:sz w:val="20"/>
        </w:rPr>
        <w:t xml:space="preserve"> </w:t>
      </w:r>
      <w:r>
        <w:rPr>
          <w:rFonts w:ascii="Times New Roman" w:hAnsi="Times New Roman"/>
          <w:b/>
          <w:sz w:val="20"/>
          <w:u w:val="single"/>
        </w:rPr>
        <w:t>Disclosure Controls and Procedures</w:t>
      </w:r>
      <w:r>
        <w:rPr>
          <w:rFonts w:ascii="Times New Roman" w:hAnsi="Times New Roman"/>
          <w:sz w:val="20"/>
        </w:rPr>
        <w:t xml:space="preserve">. Company maintains an effective system of disclosure controls and procedures (as defined in Rule 13a-15 and Rule 15d-15 of the Exchange Act), that (i) are designed to ensure that information required to be disclosed by Company in the reports that it files or submits under the Exchange Act is recorded, processed, summarized and reported within the time periods specified in the SEC’s rules and forms and that material information relating to Company is made known to Company’s principal executive officer and principal financial officer by others within Company to allow timely decisions regarding disclosure, and (ii) are effective in all material respects to perform the functions for which they were established. As of the date hereof, Company has no knowledge that would cause it to believe that the evaluation to be conducted of the effectiveness of Company’s disclosure controls and procedures for the most recently ended fiscal quarter period will result in a finding that such disclosure controls and procedures are ineffective in any material respect for such quarter ended. Based on the evaluation of Company’s disclosure controls and procedures described above, Company is not aware of any material weakness or significant deficiency in the design or operation in disclosure controls and procedures. </w:t>
      </w:r>
    </w:p>
    <w:p>
      <w:pPr>
        <w:pStyle w:val="TextBody"/>
        <w:bidi w:val="0"/>
        <w:spacing w:before="360" w:after="0"/>
        <w:jc w:val="left"/>
        <w:rPr>
          <w:rFonts w:ascii="Times New Roman" w:hAnsi="Times New Roman"/>
          <w:b/>
          <w:sz w:val="20"/>
        </w:rPr>
      </w:pPr>
      <w:r>
        <w:rPr>
          <w:rFonts w:ascii="Times New Roman" w:hAnsi="Times New Roman"/>
          <w:b/>
          <w:sz w:val="20"/>
        </w:rPr>
        <w:t xml:space="preserve">5. </w:t>
      </w:r>
      <w:r>
        <w:rPr>
          <w:rFonts w:ascii="Times New Roman" w:hAnsi="Times New Roman"/>
          <w:b/>
          <w:sz w:val="20"/>
          <w:u w:val="single"/>
        </w:rPr>
        <w:t>GENERAL COVENANTS, CONDITIONS AND AGREEMENTS.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Company hereby further covenants and agrees with each Purchaser as follows: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Compliance with Transaction Documents</w:t>
      </w:r>
      <w:r>
        <w:rPr>
          <w:rFonts w:ascii="Times New Roman" w:hAnsi="Times New Roman"/>
          <w:sz w:val="20"/>
        </w:rPr>
        <w:t xml:space="preserve">. Company shall comply with, observe and timely perform each and every one of its covenants, agreements and obligations under the Transaction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u w:val="single"/>
        </w:rPr>
        <w:t>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5.2.1.</w:t>
      </w:r>
      <w:r>
        <w:rPr>
          <w:rFonts w:ascii="Times New Roman" w:hAnsi="Times New Roman"/>
          <w:sz w:val="20"/>
        </w:rPr>
        <w:t xml:space="preserve"> </w:t>
      </w:r>
      <w:r>
        <w:rPr>
          <w:rFonts w:ascii="Times New Roman" w:hAnsi="Times New Roman"/>
          <w:b/>
          <w:sz w:val="20"/>
          <w:u w:val="single"/>
        </w:rPr>
        <w:t>Generally</w:t>
      </w:r>
      <w:r>
        <w:rPr>
          <w:rFonts w:ascii="Times New Roman" w:hAnsi="Times New Roman"/>
          <w:sz w:val="20"/>
        </w:rPr>
        <w:t xml:space="preserve">. Company shall comply in all material respects with all applicable statutes, rules, regulations, orders and restrictions in respect of the conduct of its business and the ownership of its properties, except, in each case, where such non-compliance would not reasonably be expected to have a Material Adverse Effect on Company. </w:t>
      </w:r>
    </w:p>
    <w:p>
      <w:pPr>
        <w:pStyle w:val="TextBody"/>
        <w:bidi w:val="0"/>
        <w:spacing w:before="240" w:after="0"/>
        <w:jc w:val="left"/>
        <w:rPr>
          <w:rFonts w:ascii="Times New Roman" w:hAnsi="Times New Roman"/>
          <w:sz w:val="20"/>
        </w:rPr>
      </w:pPr>
      <w:r>
        <w:rPr>
          <w:rFonts w:ascii="Times New Roman" w:hAnsi="Times New Roman"/>
          <w:b/>
          <w:sz w:val="20"/>
        </w:rPr>
        <w:t>5.2.2.</w:t>
      </w:r>
      <w:r>
        <w:rPr>
          <w:rFonts w:ascii="Times New Roman" w:hAnsi="Times New Roman"/>
          <w:sz w:val="20"/>
        </w:rPr>
        <w:t xml:space="preserve"> </w:t>
      </w:r>
      <w:r>
        <w:rPr>
          <w:rFonts w:ascii="Times New Roman" w:hAnsi="Times New Roman"/>
          <w:b/>
          <w:sz w:val="20"/>
          <w:u w:val="single"/>
        </w:rPr>
        <w:t>Taxes</w:t>
      </w:r>
      <w:r>
        <w:rPr>
          <w:rFonts w:ascii="Times New Roman" w:hAnsi="Times New Roman"/>
          <w:sz w:val="20"/>
        </w:rPr>
        <w:t xml:space="preserve">. Company shall promptly pay and discharge all taxes, assessments and other governmental charges imposed upon Company or upon the income, profits, or property of Company. Notwithstanding the foregoing, the Company shall not be required to pay any such tax, assessment, charge or claim, so long as the validity thereof shall be contested in good faith by appropriate proceedings, and appropriate reserves therefor shall be maintained on the books of Company.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w:t>
      </w:r>
      <w:r>
        <w:rPr>
          <w:rFonts w:ascii="Times New Roman" w:hAnsi="Times New Roman"/>
          <w:b/>
          <w:sz w:val="20"/>
          <w:u w:val="single"/>
        </w:rPr>
        <w:t>Absence of Control</w:t>
      </w:r>
      <w:r>
        <w:rPr>
          <w:rFonts w:ascii="Times New Roman" w:hAnsi="Times New Roman"/>
          <w:sz w:val="20"/>
        </w:rPr>
        <w:t xml:space="preserve">. It is the intent of the parties to this Agreement that in no event shall Purchasers, by reason of any of the Transaction Documents, be deemed to control, directly or indirectly, Company, and Purchasers shall not exercise, or be deemed to exercise, directly or indirectly, a controlling influence over the management or policies of Company. </w:t>
      </w:r>
    </w:p>
    <w:p>
      <w:pPr>
        <w:pStyle w:val="TextBody"/>
        <w:bidi w:val="0"/>
        <w:spacing w:before="24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w:t>
      </w:r>
      <w:r>
        <w:rPr>
          <w:rFonts w:ascii="Times New Roman" w:hAnsi="Times New Roman"/>
          <w:b/>
          <w:sz w:val="20"/>
          <w:u w:val="single"/>
        </w:rPr>
        <w:t>Insurance</w:t>
      </w:r>
      <w:r>
        <w:rPr>
          <w:rFonts w:ascii="Times New Roman" w:hAnsi="Times New Roman"/>
          <w:sz w:val="20"/>
        </w:rPr>
        <w:t xml:space="preserve">. At its sole cost and expense, Company shall maintain bonds and insurance in such amounts as is prudent and customary in the businesses in which it is engaged. All such bonds and policies of insurance shall be with insurers of recognized financial responsibility against such losses and risks. </w:t>
      </w:r>
    </w:p>
    <w:p>
      <w:pPr>
        <w:pStyle w:val="TextBody"/>
        <w:bidi w:val="0"/>
        <w:spacing w:before="24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w:t>
      </w:r>
      <w:r>
        <w:rPr>
          <w:rFonts w:ascii="Times New Roman" w:hAnsi="Times New Roman"/>
          <w:b/>
          <w:sz w:val="20"/>
          <w:u w:val="single"/>
        </w:rPr>
        <w:t>DTC Registration</w:t>
      </w:r>
      <w:r>
        <w:rPr>
          <w:rFonts w:ascii="Times New Roman" w:hAnsi="Times New Roman"/>
          <w:sz w:val="20"/>
        </w:rPr>
        <w:t>. Company shall cause the Notes to be registered in the name of Cede &amp; Co. as nominee of The Depository Trust Company (“</w:t>
      </w:r>
      <w:r>
        <w:rPr>
          <w:rFonts w:ascii="Times New Roman" w:hAnsi="Times New Roman"/>
          <w:sz w:val="20"/>
          <w:u w:val="single"/>
        </w:rPr>
        <w:t>DTC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w:t>
      </w:r>
      <w:r>
        <w:rPr>
          <w:rFonts w:ascii="Times New Roman" w:hAnsi="Times New Roman"/>
          <w:b/>
          <w:sz w:val="20"/>
          <w:u w:val="single"/>
        </w:rPr>
        <w:t>Credit Ratings</w:t>
      </w:r>
      <w:r>
        <w:rPr>
          <w:rFonts w:ascii="Times New Roman" w:hAnsi="Times New Roman"/>
          <w:sz w:val="20"/>
        </w:rPr>
        <w:t xml:space="preserve">. Company shall, for the period of time during which the Notes are outstanding, use its commercially reasonable efforts to maintain a credit rating of the Notes from at least one Rating Agency at all times. </w:t>
      </w:r>
    </w:p>
    <w:p>
      <w:pPr>
        <w:pStyle w:val="TextBody"/>
        <w:bidi w:val="0"/>
        <w:spacing w:before="360" w:after="0"/>
        <w:jc w:val="left"/>
        <w:rPr>
          <w:rFonts w:ascii="Times New Roman" w:hAnsi="Times New Roman"/>
          <w:b/>
          <w:sz w:val="20"/>
        </w:rPr>
      </w:pPr>
      <w:r>
        <w:rPr>
          <w:rFonts w:ascii="Times New Roman" w:hAnsi="Times New Roman"/>
          <w:b/>
          <w:sz w:val="20"/>
        </w:rPr>
        <w:t xml:space="preserve">6. </w:t>
      </w:r>
      <w:r>
        <w:rPr>
          <w:rFonts w:ascii="Times New Roman" w:hAnsi="Times New Roman"/>
          <w:b/>
          <w:sz w:val="20"/>
          <w:u w:val="single"/>
        </w:rPr>
        <w:t>REPRESENTATIONS, WARRANTIES AND COVENANTS OF PURCHASERS.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Purchaser hereby represents and warrants to Company, and covenants with Company, severally and not jointly, as follows: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Legal Power and Authority</w:t>
      </w:r>
      <w:r>
        <w:rPr>
          <w:rFonts w:ascii="Times New Roman" w:hAnsi="Times New Roman"/>
          <w:sz w:val="20"/>
        </w:rPr>
        <w:t xml:space="preserve">. The Purchaser has all necessary power and authority to execute, deliver and perform its obligations under this Agreement and to consummate the transactions contemplated hereby, is an entity duly organized, validly existing and in good standing under the laws of its jurisdiction of organization.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Authorization and Execution</w:t>
      </w:r>
      <w:r>
        <w:rPr>
          <w:rFonts w:ascii="Times New Roman" w:hAnsi="Times New Roman"/>
          <w:sz w:val="20"/>
        </w:rPr>
        <w:t xml:space="preserve">. The execution, delivery and performance of this Agreement have been duly authorized by all necessary action on the part of such Purchaser, and, assuming due authorization, execution and delivery by the other parties thereto, this Agreement is a legal, valid and binding obligation of such Purchaser, enforceable against such Purchaser in accordance with its terms, except as enforcement thereof may be limited by bankruptcy, insolvency, reorganization, moratorium or other similar laws relating to or affecting creditors’ rights generally or by general equitable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No Conflicts</w:t>
      </w:r>
      <w:r>
        <w:rPr>
          <w:rFonts w:ascii="Times New Roman" w:hAnsi="Times New Roman"/>
          <w:sz w:val="20"/>
        </w:rPr>
        <w:t xml:space="preserve">. Neither the execution, delivery or performance of the Transaction Documents nor the consummation of any of the transactions contemplated thereby will conflict with, violate, constitute a breach of or a default (whether with or without the giving of notice or lapse of time or both) under (i) the Purchaser’s organizational documents, (ii) any agreement to which the Purchaser is party, (iii) any law applicable to the Purchaser or (iv) any order, writ, judgment, injunction, decree, determination or award binding upon or affecting the Purchaser.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u w:val="single"/>
        </w:rPr>
        <w:t>Information</w:t>
      </w:r>
      <w:r>
        <w:rPr>
          <w:rFonts w:ascii="Times New Roman" w:hAnsi="Times New Roman"/>
          <w:sz w:val="20"/>
        </w:rPr>
        <w:t xml:space="preserve">. The Purchaser acknowledges that neither the Company nor any person representing the Company has made any representation to the Purchaser with respect to the Company or the offering and sale of the Notes other than the information contained in or incorporated by reference into the Prospectus. The Purchaser also acknowledges that it has received a copy of the Prospectus relating to the offering of the Notes and acknowledges that the Purchaser has had access to such financial and other information, and has been offered the opportunity to ask the Company questions and received answers thereto, as the Purchaser deemed necessary in connection with the decision to purchase the Notes. The Purchaser is relying only on the information contained in the Prospectus, or incorporated therein, in making its investment decision with respect to the Notes.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u w:val="single"/>
        </w:rPr>
        <w:t>Investment Decision</w:t>
      </w:r>
      <w:r>
        <w:rPr>
          <w:rFonts w:ascii="Times New Roman" w:hAnsi="Times New Roman"/>
          <w:sz w:val="20"/>
        </w:rPr>
        <w:t xml:space="preserve">. The Purchaser has made its own investment decision based upon the Purchaser’s own judgment, due diligence and advice from such advisors as the Purchaser has deemed necessary and not upon any view expressed by any other person or entity, including Lucid (or, with respect to the Indenture, the Trustee). Neither such inquiries nor any other due diligence investigations conducted by the Purchaser or its advisors or representatives, if any, shall modify, amend or affect the Purchaser’s right to rely on Company’s representations and warranties contained herein. The Purchaser is not relying upon, and has not relied upon, any advice, statement, representation or warranty made by any Person by or on behalf of Company, including without limitation Lucid (or, with respect to the Indenture, the Trustee), except for the express statements, representations and warranties of Company made or contained in this Agreement and the Prospectus. Furthermore, the Purchaser acknowledges that (i) Lucid has not performed any due diligence review on behalf of the Purchaser and (ii) nothing in this Agreement or any other materials presented by or on behalf of Company to the Purchaser in connection with the purchase of the Notes constitutes legal, tax or investment advice.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u w:val="single"/>
        </w:rPr>
        <w:t>Financial Advisor and Structuring Advisor</w:t>
      </w:r>
      <w:r>
        <w:rPr>
          <w:rFonts w:ascii="Times New Roman" w:hAnsi="Times New Roman"/>
          <w:sz w:val="20"/>
        </w:rPr>
        <w:t xml:space="preserve">. The Purchaser will purchase the Note(s) directly from Company and not from Lucid and understands that neither Lucid nor any other broker or dealer has any obligation to make a market in the Notes.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Accuracy of Representations</w:t>
      </w:r>
      <w:r>
        <w:rPr>
          <w:rFonts w:ascii="Times New Roman" w:hAnsi="Times New Roman"/>
          <w:sz w:val="20"/>
        </w:rPr>
        <w:t xml:space="preserve">. The Purchaser understands that Company will rely upon the truth and accuracy of the foregoing representations, acknowledgements and agreements in connection with the transactions contemplated by this Agreement, and agrees that if any of the representations or acknowledgements made by the Purchaser are no longer accurate as of the Closing Date, or if any of the agreements made by the Purchaser are breached on or prior to the Closing Date, the Purchaser shall promptly notify the Company.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u w:val="single"/>
        </w:rPr>
        <w:t>Representations and Warranties Generally</w:t>
      </w:r>
      <w:r>
        <w:rPr>
          <w:rFonts w:ascii="Times New Roman" w:hAnsi="Times New Roman"/>
          <w:sz w:val="20"/>
        </w:rPr>
        <w:t xml:space="preserve">. The representations and warranties of the Purchaser set forth in this Agreement are true and correct as of the date hereof and will be true and correct as of the Closing Date and as otherwise specifically provided herein. Any certificate signed by a duly authorized representative of the Purchaser and delivered to Company or to counsel for Company shall be deemed to be a representation and warranty by the Purchaser to Company as to the matters set forth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 </w:t>
      </w:r>
      <w:r>
        <w:rPr>
          <w:rFonts w:ascii="Times New Roman" w:hAnsi="Times New Roman"/>
          <w:b/>
          <w:sz w:val="20"/>
          <w:u w:val="single"/>
        </w:rPr>
        <w:t>MISCELLANEOUS.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Time of the Essence</w:t>
      </w:r>
      <w:r>
        <w:rPr>
          <w:rFonts w:ascii="Times New Roman" w:hAnsi="Times New Roman"/>
          <w:sz w:val="20"/>
        </w:rPr>
        <w:t xml:space="preserve">. Time is of the essence of this Agreement. </w:t>
      </w:r>
    </w:p>
    <w:p>
      <w:pPr>
        <w:pStyle w:val="TextBody"/>
        <w:bidi w:val="0"/>
        <w:spacing w:before="24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u w:val="single"/>
        </w:rPr>
        <w:t>Waiver or Amendment</w:t>
      </w:r>
      <w:r>
        <w:rPr>
          <w:rFonts w:ascii="Times New Roman" w:hAnsi="Times New Roman"/>
          <w:sz w:val="20"/>
        </w:rPr>
        <w:t xml:space="preserve">. No waiver or amendment of any term, provision, condition, covenant or agreement herein shall be effective unless in writing and signed by all of the parties hereto. The rights and remedies provided in this Agreement are cumulative and not exclusive of any right or remedy provided by law or equity. </w:t>
      </w:r>
    </w:p>
    <w:p>
      <w:pPr>
        <w:pStyle w:val="TextBody"/>
        <w:bidi w:val="0"/>
        <w:spacing w:before="240" w:after="0"/>
        <w:jc w:val="left"/>
        <w:rPr>
          <w:rFonts w:ascii="Times New Roman" w:hAnsi="Times New Roman"/>
          <w:sz w:val="20"/>
        </w:rPr>
      </w:pPr>
      <w:r>
        <w:rPr>
          <w:rFonts w:ascii="Times New Roman" w:hAnsi="Times New Roman"/>
          <w:b/>
          <w:sz w:val="20"/>
        </w:rPr>
        <w:t>7.3.</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Any provision of this Agreement which is unenforceable or invalid or contrary to law, or the inclusion of which would adversely affect the validity, legality or enforcement of this Agreement, shall be of no effect and, in such case, all the remaining terms and provisions of this Agreement shall subsist and be fully effective according to the tenor of this Agreement the same as though any such invalid portion had never been included herein. Notwithstanding any of the foregoing to the contrary, if any provisions of this Agreement or the application thereof are held invalid or unenforceable only as to particular persons or situations, the remainder of this Agreement, and the application of such provision to persons or situations other than those to which it shall have been held invalid or unenforceable, shall not be affected thereby, but shall continue valid and enforceable to the fullest extent permitted by law. </w:t>
      </w:r>
    </w:p>
    <w:p>
      <w:pPr>
        <w:pStyle w:val="TextBody"/>
        <w:bidi w:val="0"/>
        <w:spacing w:before="240" w:after="0"/>
        <w:jc w:val="left"/>
        <w:rPr>
          <w:rFonts w:ascii="Times New Roman" w:hAnsi="Times New Roman"/>
          <w:sz w:val="20"/>
        </w:rPr>
      </w:pPr>
      <w:r>
        <w:rPr>
          <w:rFonts w:ascii="Times New Roman" w:hAnsi="Times New Roman"/>
          <w:b/>
          <w:sz w:val="20"/>
        </w:rPr>
        <w:t>7.4.</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notice which any party hereto may be required or may desire to give hereunder shall be deemed to have been given if in writing and if delivered personally, or if mailed, postage prepaid, by United States registered or certified mail, return receipt requested, or if delivered by a responsible overnight commercial courier promising next business day delivery, addressed: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98"/>
        <w:gridCol w:w="187"/>
        <w:gridCol w:w="6103"/>
      </w:tblGrid>
      <w:tr>
        <w:trPr/>
        <w:tc>
          <w:tcPr>
            <w:tcW w:w="3098"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6103" w:type="dxa"/>
            <w:tcBorders/>
            <w:vAlign w:val="center"/>
          </w:tcPr>
          <w:p>
            <w:pPr>
              <w:pStyle w:val="TableContents"/>
              <w:bidi w:val="0"/>
              <w:spacing w:before="0" w:after="283"/>
              <w:jc w:val="left"/>
              <w:rPr>
                <w:sz w:val="4"/>
                <w:szCs w:val="4"/>
              </w:rPr>
            </w:pPr>
            <w:r>
              <w:rPr>
                <w:sz w:val="4"/>
                <w:szCs w:val="4"/>
              </w:rPr>
            </w:r>
          </w:p>
        </w:tc>
      </w:tr>
      <w:tr>
        <w:trPr/>
        <w:tc>
          <w:tcPr>
            <w:tcW w:w="3098" w:type="dxa"/>
            <w:tcBorders/>
          </w:tcPr>
          <w:p>
            <w:pPr>
              <w:pStyle w:val="TableContents"/>
              <w:bidi w:val="0"/>
              <w:spacing w:before="0" w:after="283"/>
              <w:jc w:val="left"/>
              <w:rPr/>
            </w:pPr>
            <w:r>
              <w:rPr/>
              <w:t>if to Company:</w:t>
            </w:r>
          </w:p>
        </w:tc>
        <w:tc>
          <w:tcPr>
            <w:tcW w:w="187" w:type="dxa"/>
            <w:tcBorders/>
            <w:vAlign w:val="bottom"/>
          </w:tcPr>
          <w:p>
            <w:pPr>
              <w:pStyle w:val="TableContents"/>
              <w:bidi w:val="0"/>
              <w:spacing w:before="0" w:after="283"/>
              <w:jc w:val="left"/>
              <w:rPr/>
            </w:pPr>
            <w:r>
              <w:rPr/>
              <w:t>  </w:t>
            </w:r>
          </w:p>
        </w:tc>
        <w:tc>
          <w:tcPr>
            <w:tcW w:w="6103" w:type="dxa"/>
            <w:tcBorders/>
          </w:tcPr>
          <w:p>
            <w:pPr>
              <w:pStyle w:val="TableContents"/>
              <w:bidi w:val="0"/>
              <w:spacing w:before="0" w:after="0"/>
              <w:jc w:val="left"/>
              <w:rPr>
                <w:rFonts w:ascii="Times New Roman" w:hAnsi="Times New Roman"/>
                <w:sz w:val="20"/>
              </w:rPr>
            </w:pPr>
            <w:r>
              <w:rPr>
                <w:rFonts w:ascii="Times New Roman" w:hAnsi="Times New Roman"/>
                <w:sz w:val="20"/>
              </w:rPr>
              <w:t>BCP Investment Corporation 650</w:t>
            </w:r>
          </w:p>
          <w:p>
            <w:pPr>
              <w:pStyle w:val="TableContents"/>
              <w:bidi w:val="0"/>
              <w:spacing w:before="0" w:after="0"/>
              <w:jc w:val="left"/>
              <w:rPr>
                <w:rFonts w:ascii="Times New Roman" w:hAnsi="Times New Roman"/>
                <w:sz w:val="20"/>
              </w:rPr>
            </w:pPr>
            <w:r>
              <w:rPr>
                <w:rFonts w:ascii="Times New Roman" w:hAnsi="Times New Roman"/>
                <w:sz w:val="20"/>
              </w:rPr>
              <w:t>Madison Avenue, 3rd Floor</w:t>
            </w:r>
          </w:p>
          <w:p>
            <w:pPr>
              <w:pStyle w:val="TableContents"/>
              <w:bidi w:val="0"/>
              <w:spacing w:before="0" w:after="0"/>
              <w:jc w:val="left"/>
              <w:rPr>
                <w:rFonts w:ascii="Times New Roman" w:hAnsi="Times New Roman"/>
                <w:sz w:val="20"/>
              </w:rPr>
            </w:pPr>
            <w:r>
              <w:rPr>
                <w:rFonts w:ascii="Times New Roman" w:hAnsi="Times New Roman"/>
                <w:sz w:val="20"/>
              </w:rPr>
              <w:t>New York, New York 10022</w:t>
            </w:r>
          </w:p>
          <w:p>
            <w:pPr>
              <w:pStyle w:val="TableContents"/>
              <w:bidi w:val="0"/>
              <w:spacing w:before="0" w:after="20"/>
              <w:jc w:val="left"/>
              <w:rPr>
                <w:rFonts w:ascii="Times New Roman" w:hAnsi="Times New Roman"/>
                <w:sz w:val="20"/>
              </w:rPr>
            </w:pPr>
            <w:r>
              <w:rPr>
                <w:rFonts w:ascii="Times New Roman" w:hAnsi="Times New Roman"/>
                <w:sz w:val="20"/>
              </w:rPr>
              <w:t>Attention: Ted Goldthorpe</w:t>
            </w:r>
          </w:p>
        </w:tc>
      </w:tr>
      <w:tr>
        <w:trPr>
          <w:trHeight w:val="120" w:hRule="atLeast"/>
        </w:trPr>
        <w:tc>
          <w:tcPr>
            <w:tcW w:w="3098" w:type="dxa"/>
            <w:tcBorders/>
            <w:vAlign w:val="center"/>
          </w:tcPr>
          <w:p>
            <w:pPr>
              <w:pStyle w:val="TableContents"/>
              <w:bidi w:val="0"/>
              <w:spacing w:before="0" w:after="283"/>
              <w:jc w:val="left"/>
              <w:rPr>
                <w:sz w:val="4"/>
                <w:szCs w:val="4"/>
              </w:rPr>
            </w:pPr>
            <w:r>
              <w:rPr>
                <w:sz w:val="4"/>
                <w:szCs w:val="4"/>
              </w:rPr>
            </w:r>
          </w:p>
        </w:tc>
        <w:tc>
          <w:tcPr>
            <w:tcW w:w="6290" w:type="dxa"/>
            <w:gridSpan w:val="2"/>
            <w:tcBorders/>
            <w:vAlign w:val="center"/>
          </w:tcPr>
          <w:p>
            <w:pPr>
              <w:pStyle w:val="TableContents"/>
              <w:bidi w:val="0"/>
              <w:spacing w:before="0" w:after="283"/>
              <w:jc w:val="left"/>
              <w:rPr>
                <w:sz w:val="4"/>
                <w:szCs w:val="4"/>
              </w:rPr>
            </w:pPr>
            <w:r>
              <w:rPr>
                <w:sz w:val="4"/>
                <w:szCs w:val="4"/>
              </w:rPr>
            </w:r>
          </w:p>
        </w:tc>
      </w:tr>
      <w:tr>
        <w:trPr/>
        <w:tc>
          <w:tcPr>
            <w:tcW w:w="3098" w:type="dxa"/>
            <w:tcBorders/>
          </w:tcPr>
          <w:p>
            <w:pPr>
              <w:pStyle w:val="TableContents"/>
              <w:bidi w:val="0"/>
              <w:spacing w:before="0" w:after="283"/>
              <w:jc w:val="left"/>
              <w:rPr/>
            </w:pPr>
            <w:r>
              <w:rPr/>
              <w:t>if to Purchasers:</w:t>
            </w:r>
          </w:p>
        </w:tc>
        <w:tc>
          <w:tcPr>
            <w:tcW w:w="187" w:type="dxa"/>
            <w:tcBorders/>
            <w:vAlign w:val="bottom"/>
          </w:tcPr>
          <w:p>
            <w:pPr>
              <w:pStyle w:val="TableContents"/>
              <w:bidi w:val="0"/>
              <w:spacing w:before="0" w:after="283"/>
              <w:jc w:val="left"/>
              <w:rPr/>
            </w:pPr>
            <w:r>
              <w:rPr/>
              <w:t>  </w:t>
            </w:r>
          </w:p>
        </w:tc>
        <w:tc>
          <w:tcPr>
            <w:tcW w:w="6103" w:type="dxa"/>
            <w:tcBorders/>
          </w:tcPr>
          <w:p>
            <w:pPr>
              <w:pStyle w:val="TableContents"/>
              <w:bidi w:val="0"/>
              <w:spacing w:before="0" w:after="0"/>
              <w:jc w:val="left"/>
              <w:rPr>
                <w:rFonts w:ascii="Times New Roman" w:hAnsi="Times New Roman"/>
                <w:sz w:val="20"/>
              </w:rPr>
            </w:pPr>
            <w:r>
              <w:rPr>
                <w:rFonts w:ascii="Times New Roman" w:hAnsi="Times New Roman"/>
                <w:sz w:val="20"/>
              </w:rPr>
              <w:t>To the address indicated on Appendix A</w:t>
            </w:r>
          </w:p>
          <w:p>
            <w:pPr>
              <w:pStyle w:val="TableContents"/>
              <w:bidi w:val="0"/>
              <w:spacing w:before="0" w:after="20"/>
              <w:jc w:val="left"/>
              <w:rPr>
                <w:rFonts w:ascii="Times New Roman" w:hAnsi="Times New Roman"/>
                <w:sz w:val="20"/>
              </w:rPr>
            </w:pPr>
            <w:r>
              <w:rPr>
                <w:rFonts w:ascii="Times New Roman" w:hAnsi="Times New Roman"/>
                <w:sz w:val="20"/>
              </w:rPr>
              <w:t>hereto.</w:t>
            </w:r>
          </w:p>
        </w:tc>
      </w:tr>
    </w:tbl>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addresses as the party to be given notice may have furnished in writing to the party seeking or desiring to give notice, as a place for the giving of notice; provided that no change in address shall be effective until five (5) Business Days after being given to the other party in the manner provided for above. Any notice given in accordance with the foregoing shall be deemed given when delivered personally or, if mailed, three (3) Business Days after it shall have been deposited in the United States mails as aforesaid or, if sent by overnight courier, the Business Day following the date of delivery to such courier (provided next business day delivery was requested).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7.5.</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sz w:val="20"/>
        </w:rPr>
        <w:t xml:space="preserve">. This Agreement and all of the provisions will be binding upon and inure to the benefit of the parties hereto and their respective heirs, legal representatives, successors and assigns; except that, unless a Purchaser consents in writing, no assignment made by Company in violation of this Agreement shall be effective or confer any rights on any purported assignee of Company. The term “successors and assigns” will not include a purchaser of any of the Notes from any Purchaser merely because of such purchase. </w:t>
      </w:r>
    </w:p>
    <w:p>
      <w:pPr>
        <w:pStyle w:val="TextBody"/>
        <w:bidi w:val="0"/>
        <w:spacing w:before="240" w:after="0"/>
        <w:jc w:val="left"/>
        <w:rPr>
          <w:rFonts w:ascii="Times New Roman" w:hAnsi="Times New Roman"/>
          <w:sz w:val="20"/>
        </w:rPr>
      </w:pPr>
      <w:r>
        <w:rPr>
          <w:rFonts w:ascii="Times New Roman" w:hAnsi="Times New Roman"/>
          <w:b/>
          <w:sz w:val="20"/>
        </w:rPr>
        <w:t>7.6.</w:t>
      </w:r>
      <w:r>
        <w:rPr>
          <w:rFonts w:ascii="Times New Roman" w:hAnsi="Times New Roman"/>
          <w:sz w:val="20"/>
        </w:rPr>
        <w:t xml:space="preserve"> </w:t>
      </w:r>
      <w:r>
        <w:rPr>
          <w:rFonts w:ascii="Times New Roman" w:hAnsi="Times New Roman"/>
          <w:b/>
          <w:sz w:val="20"/>
          <w:u w:val="single"/>
        </w:rPr>
        <w:t>No Joint Venture</w:t>
      </w:r>
      <w:r>
        <w:rPr>
          <w:rFonts w:ascii="Times New Roman" w:hAnsi="Times New Roman"/>
          <w:sz w:val="20"/>
        </w:rPr>
        <w:t xml:space="preserve">. Nothing contained herein or in any document executed pursuant hereto and no action or inaction whatsoever on the part of a Purchaser, shall be deemed to make a Purchaser a partner or joint venturer with Company. </w:t>
      </w:r>
    </w:p>
    <w:p>
      <w:pPr>
        <w:pStyle w:val="TextBody"/>
        <w:bidi w:val="0"/>
        <w:spacing w:before="240" w:after="0"/>
        <w:jc w:val="left"/>
        <w:rPr>
          <w:rFonts w:ascii="Times New Roman" w:hAnsi="Times New Roman"/>
          <w:sz w:val="20"/>
        </w:rPr>
      </w:pPr>
      <w:r>
        <w:rPr>
          <w:rFonts w:ascii="Times New Roman" w:hAnsi="Times New Roman"/>
          <w:b/>
          <w:sz w:val="20"/>
        </w:rPr>
        <w:t>7.7.</w:t>
      </w:r>
      <w:r>
        <w:rPr>
          <w:rFonts w:ascii="Times New Roman" w:hAnsi="Times New Roman"/>
          <w:sz w:val="20"/>
        </w:rPr>
        <w:t xml:space="preserve"> </w:t>
      </w:r>
      <w:r>
        <w:rPr>
          <w:rFonts w:ascii="Times New Roman" w:hAnsi="Times New Roman"/>
          <w:b/>
          <w:sz w:val="20"/>
          <w:u w:val="single"/>
        </w:rPr>
        <w:t>Documentation</w:t>
      </w:r>
      <w:r>
        <w:rPr>
          <w:rFonts w:ascii="Times New Roman" w:hAnsi="Times New Roman"/>
          <w:sz w:val="20"/>
        </w:rPr>
        <w:t xml:space="preserve">. All documents and other matters required by any of the provisions of this Agreement to be submitted or furnished to a Purchaser shall be in form and substance satisfactory to such Purchaser. </w:t>
      </w:r>
    </w:p>
    <w:p>
      <w:pPr>
        <w:pStyle w:val="TextBody"/>
        <w:bidi w:val="0"/>
        <w:spacing w:before="240" w:after="0"/>
        <w:jc w:val="left"/>
        <w:rPr>
          <w:rFonts w:ascii="Times New Roman" w:hAnsi="Times New Roman"/>
          <w:sz w:val="20"/>
        </w:rPr>
      </w:pPr>
      <w:r>
        <w:rPr>
          <w:rFonts w:ascii="Times New Roman" w:hAnsi="Times New Roman"/>
          <w:b/>
          <w:sz w:val="20"/>
        </w:rPr>
        <w:t>7.8.</w:t>
      </w:r>
      <w:r>
        <w:rPr>
          <w:rFonts w:ascii="Times New Roman" w:hAnsi="Times New Roman"/>
          <w:sz w:val="20"/>
        </w:rPr>
        <w:t xml:space="preserve"> </w:t>
      </w:r>
      <w:r>
        <w:rPr>
          <w:rFonts w:ascii="Times New Roman" w:hAnsi="Times New Roman"/>
          <w:b/>
          <w:sz w:val="20"/>
          <w:u w:val="single"/>
        </w:rPr>
        <w:t>Entire Agreement</w:t>
      </w:r>
      <w:r>
        <w:rPr>
          <w:rFonts w:ascii="Times New Roman" w:hAnsi="Times New Roman"/>
          <w:sz w:val="20"/>
        </w:rPr>
        <w:t xml:space="preserve">. This Agreement, the Indenture and the Notes, along with the exhibits thereto, constitute the entire agreement between the parties hereto with respect to the subject matter hereof and may not be modified or amended in any manner other than by supplemental written agreement executed by the parties hereto. No party, in entering into this Agreement, has relied upon any representation, warranty, covenant, condition or other term that is not set forth in this Agreement, the Indenture or the Notes. </w:t>
      </w:r>
    </w:p>
    <w:p>
      <w:pPr>
        <w:pStyle w:val="TextBody"/>
        <w:bidi w:val="0"/>
        <w:spacing w:before="240" w:after="0"/>
        <w:jc w:val="left"/>
        <w:rPr>
          <w:rFonts w:ascii="Times New Roman" w:hAnsi="Times New Roman"/>
          <w:sz w:val="20"/>
        </w:rPr>
      </w:pPr>
      <w:r>
        <w:rPr>
          <w:rFonts w:ascii="Times New Roman" w:hAnsi="Times New Roman"/>
          <w:b/>
          <w:sz w:val="20"/>
        </w:rPr>
        <w:t>7.9.</w:t>
      </w:r>
      <w:r>
        <w:rPr>
          <w:rFonts w:ascii="Times New Roman" w:hAnsi="Times New Roman"/>
          <w:sz w:val="20"/>
        </w:rPr>
        <w:t xml:space="preserve"> </w:t>
      </w:r>
      <w:r>
        <w:rPr>
          <w:rFonts w:ascii="Times New Roman" w:hAnsi="Times New Roman"/>
          <w:b/>
          <w:sz w:val="20"/>
          <w:u w:val="single"/>
        </w:rPr>
        <w:t>Choice of Law</w:t>
      </w:r>
      <w:r>
        <w:rPr>
          <w:rFonts w:ascii="Times New Roman" w:hAnsi="Times New Roman"/>
          <w:sz w:val="20"/>
        </w:rPr>
        <w:t xml:space="preserve">. This Agreement shall be governed by and construed in accordance with the laws of the State of New York without giving effect to its laws or principles of conflict of laws. Nothing herein shall be deemed to limit any rights, powers or privileges which a Purchaser may have pursuant to any law of the United States of America or any rule, regulation or order of any department or agency thereof and nothing herein shall be deemed to make unlawful any transaction or conduct by a Purchaser which is lawful pursuant to, or which is permitted by, any of the foregoing. </w:t>
      </w:r>
    </w:p>
    <w:p>
      <w:pPr>
        <w:pStyle w:val="TextBody"/>
        <w:bidi w:val="0"/>
        <w:spacing w:before="240" w:after="0"/>
        <w:jc w:val="left"/>
        <w:rPr>
          <w:rFonts w:ascii="Times New Roman" w:hAnsi="Times New Roman"/>
          <w:sz w:val="20"/>
        </w:rPr>
      </w:pPr>
      <w:r>
        <w:rPr>
          <w:rFonts w:ascii="Times New Roman" w:hAnsi="Times New Roman"/>
          <w:b/>
          <w:sz w:val="20"/>
        </w:rPr>
        <w:t>7.10.</w:t>
      </w:r>
      <w:r>
        <w:rPr>
          <w:rFonts w:ascii="Times New Roman" w:hAnsi="Times New Roman"/>
          <w:sz w:val="20"/>
        </w:rPr>
        <w:t xml:space="preserve"> </w:t>
      </w:r>
      <w:r>
        <w:rPr>
          <w:rFonts w:ascii="Times New Roman" w:hAnsi="Times New Roman"/>
          <w:b/>
          <w:sz w:val="20"/>
          <w:u w:val="single"/>
        </w:rPr>
        <w:t>No Third Party Beneficiary</w:t>
      </w:r>
      <w:r>
        <w:rPr>
          <w:rFonts w:ascii="Times New Roman" w:hAnsi="Times New Roman"/>
          <w:sz w:val="20"/>
        </w:rPr>
        <w:t xml:space="preserve">. This Agreement is made for the sole benefit of Company and the Purchasers, and no other person shall be deemed to have any privity of contract hereunder nor any right to rely hereon to any extent or for any purpose whatsoever, nor shall any other person have any right of action of any kind hereon or be deemed to be a third party beneficiary hereunder. </w:t>
      </w:r>
    </w:p>
    <w:p>
      <w:pPr>
        <w:pStyle w:val="TextBody"/>
        <w:bidi w:val="0"/>
        <w:spacing w:before="240" w:after="0"/>
        <w:jc w:val="left"/>
        <w:rPr>
          <w:rFonts w:ascii="Times New Roman" w:hAnsi="Times New Roman"/>
          <w:sz w:val="20"/>
        </w:rPr>
      </w:pPr>
      <w:r>
        <w:rPr>
          <w:rFonts w:ascii="Times New Roman" w:hAnsi="Times New Roman"/>
          <w:b/>
          <w:sz w:val="20"/>
        </w:rPr>
        <w:t>7.11.</w:t>
      </w:r>
      <w:r>
        <w:rPr>
          <w:rFonts w:ascii="Times New Roman" w:hAnsi="Times New Roman"/>
          <w:sz w:val="20"/>
        </w:rPr>
        <w:t xml:space="preserve"> </w:t>
      </w:r>
      <w:r>
        <w:rPr>
          <w:rFonts w:ascii="Times New Roman" w:hAnsi="Times New Roman"/>
          <w:b/>
          <w:sz w:val="20"/>
          <w:u w:val="single"/>
        </w:rPr>
        <w:t>Legal Tender of United States</w:t>
      </w:r>
      <w:r>
        <w:rPr>
          <w:rFonts w:ascii="Times New Roman" w:hAnsi="Times New Roman"/>
          <w:sz w:val="20"/>
        </w:rPr>
        <w:t xml:space="preserve">. All payments hereunder shall be made in coin or currency which at the time of payment is legal tender in the United States of America for public and private debts. </w:t>
      </w:r>
    </w:p>
    <w:p>
      <w:pPr>
        <w:pStyle w:val="TextBody"/>
        <w:bidi w:val="0"/>
        <w:spacing w:before="240" w:after="0"/>
        <w:jc w:val="left"/>
        <w:rPr>
          <w:rFonts w:ascii="Times New Roman" w:hAnsi="Times New Roman"/>
          <w:sz w:val="20"/>
        </w:rPr>
      </w:pPr>
      <w:r>
        <w:rPr>
          <w:rFonts w:ascii="Times New Roman" w:hAnsi="Times New Roman"/>
          <w:b/>
          <w:sz w:val="20"/>
        </w:rPr>
        <w:t>7.12.</w:t>
      </w:r>
      <w:r>
        <w:rPr>
          <w:rFonts w:ascii="Times New Roman" w:hAnsi="Times New Roman"/>
          <w:sz w:val="20"/>
        </w:rPr>
        <w:t xml:space="preserve"> </w:t>
      </w:r>
      <w:r>
        <w:rPr>
          <w:rFonts w:ascii="Times New Roman" w:hAnsi="Times New Roman"/>
          <w:b/>
          <w:sz w:val="20"/>
          <w:u w:val="single"/>
        </w:rPr>
        <w:t>Captions; Counterparts</w:t>
      </w:r>
      <w:r>
        <w:rPr>
          <w:rFonts w:ascii="Times New Roman" w:hAnsi="Times New Roman"/>
          <w:sz w:val="20"/>
        </w:rPr>
        <w:t xml:space="preserve">. Captions contained in this Agreement in no way define, limit or extend the scope or intent of their respective provisions. This Agreement may be executed in any number of counterparts and by different parties hereto in separate counterparts, each of which when so executed and delivered shall be deemed to be an original and all of which taken together shall constitute but one and the same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signature page were an original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7.13.</w:t>
      </w:r>
      <w:r>
        <w:rPr>
          <w:rFonts w:ascii="Times New Roman" w:hAnsi="Times New Roman"/>
          <w:sz w:val="20"/>
        </w:rPr>
        <w:t xml:space="preserve"> </w:t>
      </w:r>
      <w:r>
        <w:rPr>
          <w:rFonts w:ascii="Times New Roman" w:hAnsi="Times New Roman"/>
          <w:b/>
          <w:sz w:val="20"/>
          <w:u w:val="single"/>
        </w:rPr>
        <w:t>Knowledge; Discretion</w:t>
      </w:r>
      <w:r>
        <w:rPr>
          <w:rFonts w:ascii="Times New Roman" w:hAnsi="Times New Roman"/>
          <w:sz w:val="20"/>
        </w:rPr>
        <w:t xml:space="preserve">. All references herein to a Purchaser’s or Company’s knowledge shall be deemed to mean the knowledge of such party based on the actual knowledge of such party’s Chief Executive Officer, Chief Operating/Investment Officer, and Chief Financial Officer or such other persons holding equivalent offices. Unless specified to the contrary herein, all references herein to an exercise of discretion or judgment by a Purchaser, to the making of a determination or designation by a Purchaser, to the application of a Purchaser’s discretion or opinion, to the granting or withholding of a Purchaser’s consent or approval, to the consideration of whether a matter or thing is satisfactory or acceptable to a Purchaser, or otherwise involving the decision making of a Purchaser, shall be deemed to mean that such Purchaser shall decide using the reasonable discretion or judgment of a prudent lender. </w:t>
      </w:r>
    </w:p>
    <w:p>
      <w:pPr>
        <w:pStyle w:val="TextBody"/>
        <w:bidi w:val="0"/>
        <w:spacing w:before="240" w:after="0"/>
        <w:jc w:val="left"/>
        <w:rPr>
          <w:rFonts w:ascii="Times New Roman" w:hAnsi="Times New Roman"/>
          <w:sz w:val="20"/>
        </w:rPr>
      </w:pPr>
      <w:r>
        <w:rPr>
          <w:rFonts w:ascii="Times New Roman" w:hAnsi="Times New Roman"/>
          <w:b/>
          <w:sz w:val="20"/>
        </w:rPr>
        <w:t>7.14.</w:t>
      </w:r>
      <w:r>
        <w:rPr>
          <w:rFonts w:ascii="Times New Roman" w:hAnsi="Times New Roman"/>
          <w:sz w:val="20"/>
        </w:rPr>
        <w:t xml:space="preserve"> </w:t>
      </w:r>
      <w:r>
        <w:rPr>
          <w:rFonts w:ascii="Times New Roman" w:hAnsi="Times New Roman"/>
          <w:b/>
          <w:sz w:val="20"/>
          <w:u w:val="single"/>
        </w:rPr>
        <w:t>Waiver Of Right To Jury Trial</w:t>
      </w:r>
      <w:r>
        <w:rPr>
          <w:rFonts w:ascii="Times New Roman" w:hAnsi="Times New Roman"/>
          <w:sz w:val="20"/>
        </w:rPr>
        <w:t xml:space="preserve">. TO THE EXTENT PERMITTED UNDER APPLICABLE LAW, THE PARTIES HEREBY KNOWINGLY, VOLUNTARILY AND INTENTIONALLY WAIVE ANY RIGHT THAT THEY MAY HAVE TO A TRIAL BY JURY IN ANY LITIGATION ARISING IN ANY WAY IN CONNECTION WITH ANY OF THE TRANSACTION DOCUMENTS, OR ANY OTHER STATEMENTS OR ACTIONS OF COMPANY OR PURCHASERS. THE PARTIES ACKNOWLEDGE THAT THEY HAVE BEEN REPRESENTED IN THE SIGNING OF THIS AGREEMENT AND IN THE MAKING OF THIS WAIVER BY INDEPENDENT LEGAL COUNSEL SELECTED OF THEIR OWN FREE WILL. THE PARTIES FURTHER ACKNOWLEDGE THAT (I) THEY HAVE READ AND UNDERSTAND THE MEANING AND RAMIFICATIONS OF THIS WAIVER, (II) THIS WAIVER HAS BEEN REVIEWED BY THE PARTIES AND THEIR COUNSEL AND IS A MATERIAL INDUCEMENT FOR ENTRY INTO THIS AGREEMENT AND (III) THIS WAIVER SHALL BE EFFECTIVE AS TO EACH OF SUCH TRANSACTION DOCUMENTS AS IF FULLY INCORPORATED THEREIN. </w:t>
      </w:r>
    </w:p>
    <w:p>
      <w:pPr>
        <w:pStyle w:val="TextBody"/>
        <w:bidi w:val="0"/>
        <w:spacing w:before="240" w:after="0"/>
        <w:jc w:val="left"/>
        <w:rPr>
          <w:rFonts w:ascii="Times New Roman" w:hAnsi="Times New Roman"/>
          <w:sz w:val="20"/>
        </w:rPr>
      </w:pPr>
      <w:r>
        <w:rPr>
          <w:rFonts w:ascii="Times New Roman" w:hAnsi="Times New Roman"/>
          <w:b/>
          <w:sz w:val="20"/>
        </w:rPr>
        <w:t>7.15.</w:t>
      </w:r>
      <w:r>
        <w:rPr>
          <w:rFonts w:ascii="Times New Roman" w:hAnsi="Times New Roman"/>
          <w:sz w:val="20"/>
        </w:rPr>
        <w:t xml:space="preserve"> </w:t>
      </w:r>
      <w:r>
        <w:rPr>
          <w:rFonts w:ascii="Times New Roman" w:hAnsi="Times New Roman"/>
          <w:b/>
          <w:sz w:val="20"/>
          <w:u w:val="single"/>
        </w:rPr>
        <w:t>Expenses</w:t>
      </w:r>
      <w:r>
        <w:rPr>
          <w:rFonts w:ascii="Times New Roman" w:hAnsi="Times New Roman"/>
          <w:sz w:val="20"/>
        </w:rPr>
        <w:t xml:space="preserve">. Company hereby agrees to reimburse each Purchaser for its out-of-pocket expenses incurred in connection with the transactions contemplated hereby, including all expenses incurred in connection with its due diligence examination of the Company, the preparation and negotiation of the Transaction Documents, including the reasonable fees and expenses of special counsel to Lucid in an amount not to exceed $50,000. </w:t>
      </w:r>
    </w:p>
    <w:p>
      <w:pPr>
        <w:pStyle w:val="TextBody"/>
        <w:bidi w:val="0"/>
        <w:spacing w:before="240" w:after="0"/>
        <w:jc w:val="left"/>
        <w:rPr>
          <w:rFonts w:ascii="Times New Roman" w:hAnsi="Times New Roman"/>
          <w:sz w:val="20"/>
        </w:rPr>
      </w:pPr>
      <w:r>
        <w:rPr>
          <w:rFonts w:ascii="Times New Roman" w:hAnsi="Times New Roman"/>
          <w:b/>
          <w:sz w:val="20"/>
        </w:rPr>
        <w:t>7.16.</w:t>
      </w:r>
      <w:r>
        <w:rPr>
          <w:rFonts w:ascii="Times New Roman" w:hAnsi="Times New Roman"/>
          <w:sz w:val="20"/>
        </w:rPr>
        <w:t xml:space="preserve"> </w:t>
      </w:r>
      <w:r>
        <w:rPr>
          <w:rFonts w:ascii="Times New Roman" w:hAnsi="Times New Roman"/>
          <w:b/>
          <w:sz w:val="20"/>
          <w:u w:val="single"/>
        </w:rPr>
        <w:t>Survival</w:t>
      </w:r>
      <w:r>
        <w:rPr>
          <w:rFonts w:ascii="Times New Roman" w:hAnsi="Times New Roman"/>
          <w:sz w:val="20"/>
        </w:rPr>
        <w:t xml:space="preserve">. Each of the representations and warranties set forth in this Agreement shall survive the consummation of the transactions contemplated hereby for a period of one year after the date hereof. Except as otherwise provided herein, all covenants and agreements contained herein shall survive until, by their respective terms, they are no longer operative.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Company has caused this Note Purchase Agreement to be executed by its duly authorized representative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COMPANY</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BCP INVESTMENT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Brandon Satoren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Brandon Satoren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Chief Financial Officer, Secretary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b/>
          <w:i/>
          <w:sz w:val="20"/>
        </w:rPr>
      </w:pPr>
      <w:r>
        <w:rPr>
          <w:rFonts w:ascii="Times New Roman" w:hAnsi="Times New Roman"/>
          <w:b/>
          <w:i/>
          <w:sz w:val="20"/>
        </w:rPr>
        <w:t xml:space="preserve">[Company Signature Page to 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Purchaser has caused this Note Purchase Agreement to be executed by its duly authorized representative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PURCHASER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Holbrook Holdings,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On behalf of the applicable Purchaser(s) listed on </w:t>
            </w:r>
            <w:r>
              <w:rPr>
                <w:u w:val="single"/>
              </w:rPr>
              <w:t>Appendix A</w:t>
            </w:r>
            <w:r>
              <w:rPr/>
              <w:t xml:space="preserve"> hereto</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20" w:type="dxa"/>
            <w:tcBorders>
              <w:bottom w:val="single" w:sz="2" w:space="0" w:color="000000"/>
            </w:tcBorders>
            <w:tcMar>
              <w:bottom w:w="28" w:type="dxa"/>
            </w:tcMar>
          </w:tcPr>
          <w:p>
            <w:pPr>
              <w:pStyle w:val="TableContents"/>
              <w:bidi w:val="0"/>
              <w:spacing w:before="0" w:after="283"/>
              <w:jc w:val="left"/>
              <w:rPr/>
            </w:pPr>
            <w:r>
              <w:rPr/>
              <w:t>/s/ Scott Carmack</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Name: Scott Carmack</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Title: CEO</w:t>
            </w:r>
          </w:p>
        </w:tc>
      </w:tr>
    </w:tbl>
    <w:p>
      <w:pPr>
        <w:pStyle w:val="TextBody"/>
        <w:bidi w:val="0"/>
        <w:spacing w:before="0" w:after="0"/>
        <w:jc w:val="left"/>
        <w:rPr/>
      </w:pPr>
      <w:r>
        <w:rPr/>
        <w:t> </w:t>
      </w:r>
    </w:p>
    <w:p>
      <w:pPr>
        <w:pStyle w:val="TextBody"/>
        <w:bidi w:val="0"/>
        <w:spacing w:before="0" w:after="0"/>
        <w:jc w:val="center"/>
        <w:rPr>
          <w:rFonts w:ascii="Times New Roman" w:hAnsi="Times New Roman"/>
          <w:b/>
          <w:i/>
          <w:sz w:val="20"/>
        </w:rPr>
      </w:pPr>
      <w:r>
        <w:rPr>
          <w:rFonts w:ascii="Times New Roman" w:hAnsi="Times New Roman"/>
          <w:b/>
          <w:i/>
          <w:sz w:val="20"/>
        </w:rPr>
        <w:t xml:space="preserve">[Purchaser Signature Page to Note Purchase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A </w:t>
      </w:r>
    </w:p>
    <w:p>
      <w:pPr>
        <w:pStyle w:val="TextBody"/>
        <w:bidi w:val="0"/>
        <w:spacing w:before="360" w:after="0"/>
        <w:jc w:val="left"/>
        <w:rPr>
          <w:rFonts w:ascii="Times New Roman" w:hAnsi="Times New Roman"/>
          <w:b/>
          <w:sz w:val="20"/>
        </w:rPr>
      </w:pPr>
      <w:r>
        <w:rPr>
          <w:rFonts w:ascii="Times New Roman" w:hAnsi="Times New Roman"/>
          <w:b/>
          <w:sz w:val="20"/>
        </w:rPr>
        <w:t xml:space="preserve">Address: 3225 Cumberland Blvd SE Suite 100, Atlanta, GA 30339 </w:t>
      </w:r>
    </w:p>
    <w:p>
      <w:pPr>
        <w:pStyle w:val="TextBody"/>
        <w:bidi w:val="0"/>
        <w:spacing w:before="240" w:after="0"/>
        <w:jc w:val="left"/>
        <w:rPr>
          <w:rFonts w:ascii="Times New Roman" w:hAnsi="Times New Roman"/>
          <w:sz w:val="20"/>
        </w:rPr>
      </w:pPr>
      <w:r>
        <w:rPr>
          <w:rFonts w:ascii="Times New Roman" w:hAnsi="Times New Roman"/>
          <w:sz w:val="20"/>
        </w:rPr>
        <w:t xml:space="preserve">[Redacted]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20492</Words>
  <Characters>107563</Characters>
  <CharactersWithSpaces>128108</CharactersWithSpaces>
  <Paragraphs>756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